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1B3E" w14:textId="77777777" w:rsidR="00150877" w:rsidRDefault="00150877" w:rsidP="0015087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BB4EC51" w14:textId="77777777" w:rsidR="00150877" w:rsidRPr="002C2091" w:rsidRDefault="00150877" w:rsidP="00150877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2C2091">
        <w:rPr>
          <w:rFonts w:ascii="Arial" w:eastAsia="Cambria" w:hAnsi="Arial" w:cs="Arial"/>
          <w:b/>
        </w:rPr>
        <w:t>GROSS RENT FLOOR ELECTION</w:t>
      </w:r>
    </w:p>
    <w:p w14:paraId="16DAD49E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</w:p>
    <w:p w14:paraId="641B682B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  <w:b/>
        </w:rPr>
      </w:pPr>
      <w:r w:rsidRPr="002C2091">
        <w:rPr>
          <w:rFonts w:ascii="Arial" w:eastAsia="Cambria" w:hAnsi="Arial" w:cs="Arial"/>
        </w:rPr>
        <w:t xml:space="preserve">In accordance with Revenue Procedure 94-57, the Internal Revenue Service will treat the Gross Rent Floor in Section 42(g)(2)(A) as taking effect on the date the Corporation initially allocates* housing credits to the building.  However, the IRS will treat the Gross Rent Floor as taking effect on the building’s placed-in-service date </w:t>
      </w:r>
      <w:r w:rsidRPr="002C2091">
        <w:rPr>
          <w:rFonts w:ascii="Arial" w:eastAsia="Cambria" w:hAnsi="Arial" w:cs="Arial"/>
          <w:b/>
        </w:rPr>
        <w:t>IF</w:t>
      </w:r>
      <w:r w:rsidRPr="002C2091">
        <w:rPr>
          <w:rFonts w:ascii="Arial" w:eastAsia="Cambria" w:hAnsi="Arial" w:cs="Arial"/>
        </w:rPr>
        <w:t xml:space="preserve"> the owner designates that date instead and </w:t>
      </w:r>
      <w:r w:rsidRPr="002C2091">
        <w:rPr>
          <w:rFonts w:ascii="Arial" w:eastAsia="Cambria" w:hAnsi="Arial" w:cs="Arial"/>
          <w:b/>
        </w:rPr>
        <w:t>so informs the Corporation prior to the placed-in-service date of the building.</w:t>
      </w:r>
    </w:p>
    <w:p w14:paraId="0A78315C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400A53F0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  <w:b/>
        </w:rPr>
      </w:pPr>
      <w:r w:rsidRPr="002C2091">
        <w:rPr>
          <w:rFonts w:ascii="Arial" w:eastAsia="Cambria" w:hAnsi="Arial" w:cs="Arial"/>
          <w:b/>
        </w:rPr>
        <w:t>THIS IS A ONE-TIME ONLY, IRREVOCABLE ELECTION.</w:t>
      </w:r>
    </w:p>
    <w:p w14:paraId="6742FCE5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0FECCDD0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The undersigned owner hereby makes the following election with respect to the Gross Rent Floor Effective Date for each building in the Development designated below:</w:t>
      </w:r>
    </w:p>
    <w:p w14:paraId="0AA05844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4466E8EB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ab/>
        <w:t>____ On date of initial allocation (or determination)</w:t>
      </w:r>
    </w:p>
    <w:p w14:paraId="3B024C66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6239B467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5ACABAF8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ab/>
        <w:t>____ On placed-in-service date</w:t>
      </w:r>
    </w:p>
    <w:p w14:paraId="2E7396FC" w14:textId="77777777" w:rsidR="00150877" w:rsidRPr="002C2091" w:rsidRDefault="00150877" w:rsidP="00150877">
      <w:pPr>
        <w:spacing w:after="0" w:line="240" w:lineRule="auto"/>
        <w:ind w:firstLine="720"/>
        <w:rPr>
          <w:rFonts w:ascii="Arial" w:eastAsia="Cambria" w:hAnsi="Arial" w:cs="Arial"/>
        </w:rPr>
      </w:pPr>
    </w:p>
    <w:p w14:paraId="237401B0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* If the proposed Development is tax-exempt bond financed (as defined by the IRC), the IRS will treat the gross rent floor as taking effect on the date the Corporation initially issues a determination letter unless the owner designates that the placed-in-service date should be used.</w:t>
      </w:r>
    </w:p>
    <w:p w14:paraId="347182FF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</w:p>
    <w:p w14:paraId="01BB441C" w14:textId="4609B189" w:rsidR="00150877" w:rsidRPr="002C2091" w:rsidRDefault="00150877" w:rsidP="00150877">
      <w:pPr>
        <w:pBdr>
          <w:bottom w:val="single" w:sz="12" w:space="1" w:color="auto"/>
        </w:pBd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</w:p>
    <w:p w14:paraId="0830A6FD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Owner Signature</w:t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  <w:t xml:space="preserve">Date </w:t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  <w:t>Development Name</w:t>
      </w:r>
    </w:p>
    <w:p w14:paraId="4D82EFF5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</w:p>
    <w:p w14:paraId="333C75BE" w14:textId="745A44AE" w:rsidR="00150877" w:rsidRPr="002C2091" w:rsidRDefault="00150877" w:rsidP="00150877">
      <w:pPr>
        <w:pBdr>
          <w:bottom w:val="single" w:sz="12" w:space="1" w:color="auto"/>
        </w:pBd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</w:p>
    <w:p w14:paraId="317DCC39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Owner Name (Print or Type)</w:t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</w:r>
      <w:r w:rsidRPr="002C2091">
        <w:rPr>
          <w:rFonts w:ascii="Arial" w:eastAsia="Cambria" w:hAnsi="Arial" w:cs="Arial"/>
        </w:rPr>
        <w:tab/>
        <w:t>Development Number</w:t>
      </w:r>
    </w:p>
    <w:p w14:paraId="42106426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</w:p>
    <w:p w14:paraId="09DEDD8D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THIS ELECTION MUST BE RECEIVED BY THE CORPORATION PRIOR TO THE PLACED-IN-SERVICE DATE OF ANY BUILDING IN THE DEVELOPMENT.</w:t>
      </w:r>
    </w:p>
    <w:p w14:paraId="45E6123C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</w:p>
    <w:p w14:paraId="2656617D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RECEIVED BY THE FLORIDA HOUSING FINANCE CORPORATION</w:t>
      </w:r>
    </w:p>
    <w:p w14:paraId="5AE6BC25" w14:textId="77777777" w:rsidR="00150877" w:rsidRPr="002C2091" w:rsidRDefault="00150877" w:rsidP="00150877">
      <w:pPr>
        <w:spacing w:after="0" w:line="240" w:lineRule="auto"/>
        <w:rPr>
          <w:rFonts w:ascii="Arial" w:eastAsia="Cambria" w:hAnsi="Arial" w:cs="Arial"/>
        </w:rPr>
      </w:pPr>
      <w:r w:rsidRPr="002C2091">
        <w:rPr>
          <w:rFonts w:ascii="Arial" w:eastAsia="Cambria" w:hAnsi="Arial" w:cs="Arial"/>
        </w:rPr>
        <w:t>(Date Stamp):</w:t>
      </w:r>
    </w:p>
    <w:p w14:paraId="60CCB912" w14:textId="77777777" w:rsidR="00150877" w:rsidRPr="002C2091" w:rsidRDefault="00150877" w:rsidP="00150877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28E4DB61" w14:textId="77777777" w:rsidR="00150877" w:rsidRPr="002C2091" w:rsidRDefault="00150877" w:rsidP="00150877">
      <w:pPr>
        <w:rPr>
          <w:rFonts w:ascii="Arial" w:hAnsi="Arial" w:cs="Arial"/>
        </w:rPr>
      </w:pPr>
    </w:p>
    <w:p w14:paraId="223BD0E3" w14:textId="77777777" w:rsidR="008E77ED" w:rsidRPr="002C2091" w:rsidRDefault="008E77ED" w:rsidP="00324A28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6BC95101" w14:textId="77777777" w:rsidR="008E77ED" w:rsidRPr="002C2091" w:rsidRDefault="008E77ED" w:rsidP="008E77ED">
      <w:pPr>
        <w:rPr>
          <w:rFonts w:ascii="Arial" w:hAnsi="Arial" w:cs="Arial"/>
        </w:rPr>
      </w:pPr>
    </w:p>
    <w:p w14:paraId="664E2D72" w14:textId="5DF26FE2" w:rsidR="004C4E50" w:rsidRPr="004C4E50" w:rsidRDefault="004C4E50" w:rsidP="00150877">
      <w:pPr>
        <w:tabs>
          <w:tab w:val="left" w:pos="5760"/>
        </w:tabs>
      </w:pPr>
    </w:p>
    <w:sectPr w:rsidR="004C4E50" w:rsidRPr="004C4E50" w:rsidSect="00151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4A57" w14:textId="77777777" w:rsidR="00BD182D" w:rsidRDefault="00BD182D" w:rsidP="00203541">
      <w:pPr>
        <w:spacing w:after="0" w:line="240" w:lineRule="auto"/>
      </w:pPr>
      <w:r>
        <w:separator/>
      </w:r>
    </w:p>
  </w:endnote>
  <w:endnote w:type="continuationSeparator" w:id="0">
    <w:p w14:paraId="3E4D8166" w14:textId="77777777" w:rsidR="00BD182D" w:rsidRDefault="00BD182D" w:rsidP="002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95B" w14:textId="77777777" w:rsidR="00FA664B" w:rsidRDefault="00FA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DF8F" w14:textId="77777777" w:rsidR="00C57758" w:rsidRDefault="00C57758" w:rsidP="00C57758">
    <w:pPr>
      <w:pBdr>
        <w:top w:val="single" w:sz="6" w:space="1" w:color="5F497A" w:themeColor="accent4" w:themeShade="BF"/>
      </w:pBd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F62745">
      <w:rPr>
        <w:rFonts w:ascii="Century Gothic" w:hAnsi="Century Gothic"/>
        <w:color w:val="808080" w:themeColor="background1" w:themeShade="80"/>
        <w:sz w:val="14"/>
        <w:szCs w:val="14"/>
      </w:rPr>
      <w:t>Ron DeSantis</w:t>
    </w:r>
    <w:r w:rsidRPr="00900DBA">
      <w:rPr>
        <w:rFonts w:ascii="Century Gothic" w:hAnsi="Century Gothic"/>
        <w:color w:val="808080" w:themeColor="background1" w:themeShade="80"/>
        <w:sz w:val="14"/>
        <w:szCs w:val="14"/>
      </w:rPr>
      <w:t>, Governor</w:t>
    </w:r>
  </w:p>
  <w:p w14:paraId="508220FA" w14:textId="77777777" w:rsidR="00C57758" w:rsidRPr="00900DBA" w:rsidRDefault="00C57758" w:rsidP="00C57758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8"/>
        <w:szCs w:val="8"/>
      </w:rPr>
    </w:pPr>
  </w:p>
  <w:p w14:paraId="2B380138" w14:textId="77777777" w:rsidR="00C57758" w:rsidRPr="0037087B" w:rsidRDefault="00C57758" w:rsidP="00C57758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37087B">
      <w:rPr>
        <w:rFonts w:ascii="Century Gothic" w:hAnsi="Century Gothic"/>
        <w:color w:val="808080" w:themeColor="background1" w:themeShade="80"/>
        <w:sz w:val="14"/>
        <w:szCs w:val="14"/>
      </w:rPr>
      <w:t>Board of Directors: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Ron Lieberman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, Chairman </w:t>
    </w:r>
    <w:r w:rsidRPr="0037087B">
      <w:rPr>
        <w:rFonts w:ascii="Century Gothic" w:hAnsi="Century Gothic"/>
        <w:color w:val="550393"/>
        <w:sz w:val="14"/>
        <w:szCs w:val="14"/>
      </w:rPr>
      <w:sym w:font="Wingdings" w:char="F09F"/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 Ray Dubuque, Vice Chairman</w:t>
    </w:r>
  </w:p>
  <w:p w14:paraId="1E93987D" w14:textId="77777777" w:rsidR="00C57758" w:rsidRPr="0037087B" w:rsidRDefault="00C57758" w:rsidP="00C57758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>
      <w:rPr>
        <w:rFonts w:ascii="Century Gothic" w:hAnsi="Century Gothic"/>
        <w:color w:val="808080" w:themeColor="background1" w:themeShade="80"/>
        <w:sz w:val="14"/>
        <w:szCs w:val="14"/>
      </w:rPr>
      <w:t>Natacha Bastian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Ryan Benson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Sandra Einhorn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proofErr w:type="spellStart"/>
    <w:r w:rsidRPr="009D01BD">
      <w:rPr>
        <w:rFonts w:ascii="Century Gothic" w:hAnsi="Century Gothic"/>
        <w:color w:val="808080" w:themeColor="background1" w:themeShade="80"/>
        <w:sz w:val="14"/>
        <w:szCs w:val="14"/>
      </w:rPr>
      <w:t>LaTasha</w:t>
    </w:r>
    <w:proofErr w:type="spellEnd"/>
    <w:r w:rsidRPr="009D01BD">
      <w:rPr>
        <w:rFonts w:ascii="Century Gothic" w:hAnsi="Century Gothic"/>
        <w:color w:val="808080" w:themeColor="background1" w:themeShade="80"/>
        <w:sz w:val="14"/>
        <w:szCs w:val="14"/>
      </w:rPr>
      <w:t xml:space="preserve"> Green-Cobb</w:t>
    </w:r>
  </w:p>
  <w:p w14:paraId="1F4DB067" w14:textId="77777777" w:rsidR="00C57758" w:rsidRPr="0037087B" w:rsidRDefault="00C57758" w:rsidP="00C57758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 w:rsidRPr="0056638A">
      <w:rPr>
        <w:rFonts w:ascii="Century Gothic" w:hAnsi="Century Gothic"/>
        <w:color w:val="808080" w:themeColor="background1" w:themeShade="80"/>
        <w:sz w:val="14"/>
        <w:szCs w:val="14"/>
      </w:rPr>
      <w:t>Bill Gulliford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>Ken Lawson</w:t>
    </w:r>
  </w:p>
  <w:p w14:paraId="027533B7" w14:textId="77777777" w:rsidR="00C57758" w:rsidRPr="0037087B" w:rsidRDefault="00C57758" w:rsidP="00C57758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8"/>
        <w:szCs w:val="8"/>
      </w:rPr>
    </w:pPr>
  </w:p>
  <w:p w14:paraId="078C3BF5" w14:textId="707029A8" w:rsidR="00E5192F" w:rsidRDefault="00C57758" w:rsidP="00C57758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>Harold “Trey” Price,</w:t>
    </w:r>
    <w:r w:rsidRPr="0037087B"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Executive Director</w:t>
    </w:r>
  </w:p>
  <w:p w14:paraId="19FAF683" w14:textId="77777777" w:rsidR="00E457C2" w:rsidRPr="00C57758" w:rsidRDefault="00E457C2" w:rsidP="00C57758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hAnsi="Century Gothic"/>
        <w:color w:val="808080" w:themeColor="background1" w:themeShade="80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2CDA" w14:textId="77777777" w:rsidR="00FA664B" w:rsidRDefault="00FA664B" w:rsidP="00FA664B">
    <w:pPr>
      <w:pBdr>
        <w:top w:val="single" w:sz="6" w:space="1" w:color="5F497A" w:themeColor="accent4" w:themeShade="BF"/>
      </w:pBd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F62745">
      <w:rPr>
        <w:rFonts w:ascii="Century Gothic" w:hAnsi="Century Gothic"/>
        <w:color w:val="808080" w:themeColor="background1" w:themeShade="80"/>
        <w:sz w:val="14"/>
        <w:szCs w:val="14"/>
      </w:rPr>
      <w:t>Ron DeSantis</w:t>
    </w:r>
    <w:r w:rsidRPr="00900DBA">
      <w:rPr>
        <w:rFonts w:ascii="Century Gothic" w:hAnsi="Century Gothic"/>
        <w:color w:val="808080" w:themeColor="background1" w:themeShade="80"/>
        <w:sz w:val="14"/>
        <w:szCs w:val="14"/>
      </w:rPr>
      <w:t>, Governor</w:t>
    </w:r>
  </w:p>
  <w:p w14:paraId="21E78FF2" w14:textId="77777777" w:rsidR="00FA664B" w:rsidRPr="00900DBA" w:rsidRDefault="00FA664B" w:rsidP="00FA664B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8"/>
        <w:szCs w:val="8"/>
      </w:rPr>
    </w:pPr>
  </w:p>
  <w:p w14:paraId="4B8A0E5B" w14:textId="77777777" w:rsidR="00FA664B" w:rsidRPr="0037087B" w:rsidRDefault="00FA664B" w:rsidP="00FA664B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37087B">
      <w:rPr>
        <w:rFonts w:ascii="Century Gothic" w:hAnsi="Century Gothic"/>
        <w:color w:val="808080" w:themeColor="background1" w:themeShade="80"/>
        <w:sz w:val="14"/>
        <w:szCs w:val="14"/>
      </w:rPr>
      <w:t>Board of Directors:</w:t>
    </w:r>
    <w:r w:rsidRPr="00CD6895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Ron Lieberman,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 Chair </w:t>
    </w:r>
    <w:r w:rsidRPr="0037087B">
      <w:rPr>
        <w:rFonts w:ascii="Century Gothic" w:hAnsi="Century Gothic"/>
        <w:color w:val="550393"/>
        <w:sz w:val="14"/>
        <w:szCs w:val="14"/>
      </w:rPr>
      <w:sym w:font="Wingdings" w:char="F09F"/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Mario </w:t>
    </w:r>
    <w:proofErr w:type="spellStart"/>
    <w:r>
      <w:rPr>
        <w:rFonts w:ascii="Century Gothic" w:hAnsi="Century Gothic"/>
        <w:color w:val="808080" w:themeColor="background1" w:themeShade="80"/>
        <w:sz w:val="14"/>
        <w:szCs w:val="14"/>
      </w:rPr>
      <w:t>Facella</w:t>
    </w:r>
    <w:proofErr w:type="spellEnd"/>
    <w:r w:rsidRPr="0037087B">
      <w:rPr>
        <w:rFonts w:ascii="Century Gothic" w:hAnsi="Century Gothic"/>
        <w:color w:val="808080" w:themeColor="background1" w:themeShade="80"/>
        <w:sz w:val="14"/>
        <w:szCs w:val="14"/>
      </w:rPr>
      <w:t>, Vice Chair</w:t>
    </w:r>
  </w:p>
  <w:p w14:paraId="0A5591ED" w14:textId="77777777" w:rsidR="00FA664B" w:rsidRPr="0037087B" w:rsidRDefault="00FA664B" w:rsidP="00FA664B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 w:rsidRPr="0056638A">
      <w:rPr>
        <w:rFonts w:ascii="Century Gothic" w:hAnsi="Century Gothic"/>
        <w:color w:val="808080" w:themeColor="background1" w:themeShade="80"/>
        <w:sz w:val="14"/>
        <w:szCs w:val="14"/>
      </w:rPr>
      <w:t>Ryan Benson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D</w:t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>ane Eagle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S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andra Einhorn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David Hall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Dev Motwani</w:t>
    </w:r>
  </w:p>
  <w:p w14:paraId="0FCBF4E9" w14:textId="77777777" w:rsidR="00FA664B" w:rsidRPr="0037087B" w:rsidRDefault="00FA664B" w:rsidP="00FA664B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8"/>
        <w:szCs w:val="8"/>
      </w:rPr>
    </w:pPr>
  </w:p>
  <w:p w14:paraId="313FF496" w14:textId="0EF97EB4" w:rsidR="00F15E44" w:rsidRPr="00FD457C" w:rsidRDefault="00FA664B" w:rsidP="00FD457C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>Harold “Trey” Price,</w:t>
    </w:r>
    <w:r w:rsidRPr="0037087B"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Executive Director</w:t>
    </w: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BC59" w14:textId="77777777" w:rsidR="00BD182D" w:rsidRDefault="00BD182D" w:rsidP="00203541">
      <w:pPr>
        <w:spacing w:after="0" w:line="240" w:lineRule="auto"/>
      </w:pPr>
      <w:r>
        <w:separator/>
      </w:r>
    </w:p>
  </w:footnote>
  <w:footnote w:type="continuationSeparator" w:id="0">
    <w:p w14:paraId="1A6C1E95" w14:textId="77777777" w:rsidR="00BD182D" w:rsidRDefault="00BD182D" w:rsidP="0020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A6BB" w14:textId="77777777" w:rsidR="00FA664B" w:rsidRDefault="00FA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7FBA" w14:textId="77777777" w:rsidR="001E696E" w:rsidRDefault="001E696E" w:rsidP="00887D30">
    <w:pPr>
      <w:pStyle w:val="Header"/>
      <w:tabs>
        <w:tab w:val="clear" w:pos="4680"/>
        <w:tab w:val="clear" w:pos="9360"/>
        <w:tab w:val="left" w:pos="63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B757" w14:textId="77777777" w:rsidR="001E696E" w:rsidRDefault="00940DD2" w:rsidP="00B01395">
    <w:pPr>
      <w:pStyle w:val="Header"/>
      <w:tabs>
        <w:tab w:val="clear" w:pos="9360"/>
      </w:tabs>
      <w:spacing w:after="360"/>
      <w:ind w:left="-1440" w:right="-1440"/>
      <w:jc w:val="center"/>
    </w:pPr>
    <w:r w:rsidRPr="00761DE7">
      <w:rPr>
        <w:rFonts w:ascii="Century Gothic" w:hAnsi="Century Gothic"/>
        <w:noProof/>
      </w:rPr>
      <w:drawing>
        <wp:inline distT="0" distB="0" distL="0" distR="0" wp14:anchorId="0F6B7709" wp14:editId="28C24A25">
          <wp:extent cx="6845808" cy="722376"/>
          <wp:effectExtent l="0" t="0" r="0" b="1905"/>
          <wp:docPr id="25" name="Picture 25" descr="LthdHeader_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hdHeader_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DB"/>
    <w:rsid w:val="00045728"/>
    <w:rsid w:val="00053D51"/>
    <w:rsid w:val="00082EB2"/>
    <w:rsid w:val="0008625F"/>
    <w:rsid w:val="0009348F"/>
    <w:rsid w:val="000F0795"/>
    <w:rsid w:val="00143EFD"/>
    <w:rsid w:val="00150877"/>
    <w:rsid w:val="00151CAD"/>
    <w:rsid w:val="00183C25"/>
    <w:rsid w:val="001935DB"/>
    <w:rsid w:val="001938E4"/>
    <w:rsid w:val="001A7464"/>
    <w:rsid w:val="001B3732"/>
    <w:rsid w:val="001E696E"/>
    <w:rsid w:val="00203541"/>
    <w:rsid w:val="00237766"/>
    <w:rsid w:val="002615B3"/>
    <w:rsid w:val="002A604D"/>
    <w:rsid w:val="002C2091"/>
    <w:rsid w:val="0030683D"/>
    <w:rsid w:val="00324A28"/>
    <w:rsid w:val="00342BBA"/>
    <w:rsid w:val="0037087B"/>
    <w:rsid w:val="003826A6"/>
    <w:rsid w:val="00393576"/>
    <w:rsid w:val="003D1256"/>
    <w:rsid w:val="003F2B62"/>
    <w:rsid w:val="00423CE6"/>
    <w:rsid w:val="004350A5"/>
    <w:rsid w:val="00443ABA"/>
    <w:rsid w:val="0045048E"/>
    <w:rsid w:val="004A5C54"/>
    <w:rsid w:val="004B45F5"/>
    <w:rsid w:val="004C4E50"/>
    <w:rsid w:val="004D3A3C"/>
    <w:rsid w:val="004F6CEA"/>
    <w:rsid w:val="00517697"/>
    <w:rsid w:val="00531068"/>
    <w:rsid w:val="0056638A"/>
    <w:rsid w:val="00573C8C"/>
    <w:rsid w:val="005769FE"/>
    <w:rsid w:val="005A496A"/>
    <w:rsid w:val="005B6D27"/>
    <w:rsid w:val="0060095E"/>
    <w:rsid w:val="00616E45"/>
    <w:rsid w:val="0063128E"/>
    <w:rsid w:val="006343E4"/>
    <w:rsid w:val="00646D11"/>
    <w:rsid w:val="006F51B6"/>
    <w:rsid w:val="00714C70"/>
    <w:rsid w:val="00761DE7"/>
    <w:rsid w:val="007774FC"/>
    <w:rsid w:val="007859AC"/>
    <w:rsid w:val="00786BE3"/>
    <w:rsid w:val="00795EDB"/>
    <w:rsid w:val="007C125A"/>
    <w:rsid w:val="007C3AF2"/>
    <w:rsid w:val="007C5A4C"/>
    <w:rsid w:val="0081497A"/>
    <w:rsid w:val="0082604E"/>
    <w:rsid w:val="008275C4"/>
    <w:rsid w:val="008530EB"/>
    <w:rsid w:val="00875B9F"/>
    <w:rsid w:val="00887D30"/>
    <w:rsid w:val="008B0279"/>
    <w:rsid w:val="008E77ED"/>
    <w:rsid w:val="008F2D9E"/>
    <w:rsid w:val="008F6097"/>
    <w:rsid w:val="00900DBA"/>
    <w:rsid w:val="00940DD2"/>
    <w:rsid w:val="00965D3B"/>
    <w:rsid w:val="009847B6"/>
    <w:rsid w:val="009B5FA5"/>
    <w:rsid w:val="009C1F3D"/>
    <w:rsid w:val="009C628F"/>
    <w:rsid w:val="009D01BD"/>
    <w:rsid w:val="00A01CD9"/>
    <w:rsid w:val="00A02C33"/>
    <w:rsid w:val="00A167E1"/>
    <w:rsid w:val="00AA6C5F"/>
    <w:rsid w:val="00B01395"/>
    <w:rsid w:val="00B30646"/>
    <w:rsid w:val="00B943E8"/>
    <w:rsid w:val="00BB5B0F"/>
    <w:rsid w:val="00BC34F3"/>
    <w:rsid w:val="00BD182D"/>
    <w:rsid w:val="00BF7475"/>
    <w:rsid w:val="00C00BF6"/>
    <w:rsid w:val="00C151DE"/>
    <w:rsid w:val="00C16109"/>
    <w:rsid w:val="00C40B6D"/>
    <w:rsid w:val="00C57758"/>
    <w:rsid w:val="00C71F8D"/>
    <w:rsid w:val="00C93F8C"/>
    <w:rsid w:val="00CC2E53"/>
    <w:rsid w:val="00CD6B42"/>
    <w:rsid w:val="00CE21BA"/>
    <w:rsid w:val="00D54808"/>
    <w:rsid w:val="00D87543"/>
    <w:rsid w:val="00D90FEB"/>
    <w:rsid w:val="00DB1EAF"/>
    <w:rsid w:val="00DB4AD1"/>
    <w:rsid w:val="00DD65F2"/>
    <w:rsid w:val="00E02F55"/>
    <w:rsid w:val="00E10871"/>
    <w:rsid w:val="00E457C2"/>
    <w:rsid w:val="00E5192F"/>
    <w:rsid w:val="00E6323D"/>
    <w:rsid w:val="00E67084"/>
    <w:rsid w:val="00F15E44"/>
    <w:rsid w:val="00F20B74"/>
    <w:rsid w:val="00F332FC"/>
    <w:rsid w:val="00F512F4"/>
    <w:rsid w:val="00F51540"/>
    <w:rsid w:val="00F62745"/>
    <w:rsid w:val="00F9710B"/>
    <w:rsid w:val="00FA664B"/>
    <w:rsid w:val="00FC7ADF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49A671"/>
  <w15:docId w15:val="{D665B75B-0C55-4148-B018-1922575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41"/>
  </w:style>
  <w:style w:type="paragraph" w:styleId="Footer">
    <w:name w:val="footer"/>
    <w:basedOn w:val="Normal"/>
    <w:link w:val="Foot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41"/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4" ma:contentTypeDescription="Create a new document." ma:contentTypeScope="" ma:versionID="b2524439593dbab3e4900e5678e87991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f2896de15a31788c0acebbd5733813d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758E-6B51-4C05-9D0A-149955E0F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DFE6D-2C74-4779-B829-D0098F2CC2DF}">
  <ds:schemaRefs>
    <ds:schemaRef ds:uri="a84349eb-4374-47bc-83f0-36d288636098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dfe011-c19e-4dbd-a5cd-00e4d25ab0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59E490-FC48-42DE-BC62-B66B66CB7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8FFA2-2D5A-47FE-9785-A3B9749CF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Housing Finance Corp.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Cecka Green</dc:creator>
  <cp:lastModifiedBy>Elizabeth Thorp</cp:lastModifiedBy>
  <cp:revision>2</cp:revision>
  <dcterms:created xsi:type="dcterms:W3CDTF">2022-02-09T15:07:00Z</dcterms:created>
  <dcterms:modified xsi:type="dcterms:W3CDTF">2022-02-09T15:07:00Z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</Properties>
</file>