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B40B0" w14:textId="01723785" w:rsidR="0083563E" w:rsidRPr="00230A66" w:rsidRDefault="00E84877" w:rsidP="00E84877">
      <w:pPr>
        <w:pStyle w:val="Heading1"/>
        <w:jc w:val="center"/>
        <w:rPr>
          <w:rFonts w:ascii="Calibri" w:hAnsi="Calibri"/>
          <w:sz w:val="32"/>
          <w:szCs w:val="32"/>
        </w:rPr>
      </w:pPr>
      <w:r w:rsidRPr="00E75272">
        <w:rPr>
          <w:rFonts w:ascii="Calibri" w:hAnsi="Calibri"/>
          <w:sz w:val="32"/>
          <w:szCs w:val="32"/>
        </w:rPr>
        <w:t>LHAP Strategy Quick Guide</w:t>
      </w:r>
    </w:p>
    <w:tbl>
      <w:tblPr>
        <w:tblpPr w:leftFromText="180" w:rightFromText="180" w:vertAnchor="text" w:tblpX="-113" w:tblpY="1"/>
        <w:tblOverlap w:val="never"/>
        <w:tblW w:w="5039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1E0" w:firstRow="1" w:lastRow="1" w:firstColumn="1" w:lastColumn="1" w:noHBand="0" w:noVBand="0"/>
        <w:tblCaption w:val="Content table"/>
      </w:tblPr>
      <w:tblGrid>
        <w:gridCol w:w="2425"/>
        <w:gridCol w:w="8594"/>
      </w:tblGrid>
      <w:tr w:rsidR="0083563E" w:rsidRPr="00230A66" w14:paraId="6F8F4E37" w14:textId="77777777" w:rsidTr="00E92915">
        <w:trPr>
          <w:trHeight w:val="522"/>
          <w:tblHeader/>
        </w:trPr>
        <w:tc>
          <w:tcPr>
            <w:tcW w:w="2425" w:type="dxa"/>
            <w:shd w:val="clear" w:color="auto" w:fill="auto"/>
            <w:vAlign w:val="center"/>
          </w:tcPr>
          <w:p w14:paraId="4B9D61B9" w14:textId="0EC35AF4" w:rsidR="0083563E" w:rsidRPr="00230A66" w:rsidRDefault="008C1D41" w:rsidP="00D14157">
            <w:pPr>
              <w:pStyle w:val="Heading2"/>
              <w:rPr>
                <w:rFonts w:ascii="Calibri" w:hAnsi="Calibri"/>
                <w:color w:val="auto"/>
                <w:szCs w:val="22"/>
              </w:rPr>
            </w:pPr>
            <w:r w:rsidRPr="00230A66">
              <w:rPr>
                <w:rFonts w:ascii="Calibri" w:hAnsi="Calibri"/>
                <w:color w:val="auto"/>
                <w:szCs w:val="22"/>
              </w:rPr>
              <w:t>Strategy Name</w:t>
            </w:r>
            <w:r w:rsidR="00230A66" w:rsidRPr="00230A66">
              <w:rPr>
                <w:rFonts w:ascii="Calibri" w:hAnsi="Calibri"/>
                <w:color w:val="auto"/>
                <w:szCs w:val="22"/>
              </w:rPr>
              <w:t>/Code</w:t>
            </w:r>
          </w:p>
        </w:tc>
        <w:tc>
          <w:tcPr>
            <w:tcW w:w="8594" w:type="dxa"/>
            <w:shd w:val="clear" w:color="auto" w:fill="auto"/>
            <w:vAlign w:val="center"/>
          </w:tcPr>
          <w:p w14:paraId="6FBAE27A" w14:textId="48E82C30" w:rsidR="0083563E" w:rsidRPr="00230A66" w:rsidRDefault="00230A66" w:rsidP="00D14157">
            <w:pPr>
              <w:pStyle w:val="CommentText"/>
              <w:rPr>
                <w:rFonts w:ascii="Calibri" w:hAnsi="Calibri"/>
                <w:sz w:val="22"/>
                <w:szCs w:val="22"/>
              </w:rPr>
            </w:pPr>
            <w:r w:rsidRPr="00230A66">
              <w:rPr>
                <w:rFonts w:ascii="Calibri" w:hAnsi="Calibri"/>
                <w:sz w:val="22"/>
                <w:szCs w:val="22"/>
              </w:rPr>
              <w:t xml:space="preserve">State a </w:t>
            </w:r>
            <w:r w:rsidR="00E31CF5">
              <w:rPr>
                <w:rFonts w:ascii="Calibri" w:hAnsi="Calibri"/>
                <w:sz w:val="22"/>
                <w:szCs w:val="22"/>
              </w:rPr>
              <w:t xml:space="preserve">strategy </w:t>
            </w:r>
            <w:r w:rsidRPr="00230A66">
              <w:rPr>
                <w:rFonts w:ascii="Calibri" w:hAnsi="Calibri"/>
                <w:sz w:val="22"/>
                <w:szCs w:val="22"/>
              </w:rPr>
              <w:t xml:space="preserve">name </w:t>
            </w:r>
            <w:r w:rsidR="00E75272">
              <w:rPr>
                <w:rFonts w:ascii="Calibri" w:hAnsi="Calibri"/>
                <w:sz w:val="22"/>
                <w:szCs w:val="22"/>
              </w:rPr>
              <w:t>corresponding to a</w:t>
            </w:r>
            <w:r>
              <w:rPr>
                <w:rFonts w:ascii="Calibri" w:hAnsi="Calibri"/>
                <w:sz w:val="22"/>
                <w:szCs w:val="22"/>
              </w:rPr>
              <w:t xml:space="preserve"> correct </w:t>
            </w:r>
            <w:r w:rsidR="00A93224">
              <w:rPr>
                <w:rFonts w:ascii="Calibri" w:hAnsi="Calibri"/>
                <w:sz w:val="22"/>
                <w:szCs w:val="22"/>
              </w:rPr>
              <w:t>code</w:t>
            </w:r>
            <w:r w:rsidR="00A93224">
              <w:rPr>
                <w:rStyle w:val="FootnoteReference"/>
                <w:rFonts w:ascii="Calibri" w:hAnsi="Calibri"/>
                <w:sz w:val="22"/>
                <w:szCs w:val="22"/>
              </w:rPr>
              <w:footnoteReference w:id="1"/>
            </w:r>
            <w:r w:rsidR="00A9322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30A6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31CF5">
              <w:rPr>
                <w:rFonts w:ascii="Calibri" w:hAnsi="Calibri"/>
                <w:sz w:val="22"/>
                <w:szCs w:val="22"/>
              </w:rPr>
              <w:t>(</w:t>
            </w:r>
            <w:r w:rsidR="00E75272">
              <w:rPr>
                <w:rFonts w:ascii="Calibri" w:hAnsi="Calibri"/>
                <w:sz w:val="22"/>
                <w:szCs w:val="22"/>
              </w:rPr>
              <w:t xml:space="preserve">must be </w:t>
            </w:r>
            <w:r w:rsidRPr="00230A66">
              <w:rPr>
                <w:rFonts w:ascii="Calibri" w:hAnsi="Calibri"/>
                <w:sz w:val="22"/>
                <w:szCs w:val="22"/>
              </w:rPr>
              <w:t xml:space="preserve">consistent </w:t>
            </w:r>
            <w:r w:rsidR="00E31CF5">
              <w:rPr>
                <w:rFonts w:ascii="Calibri" w:hAnsi="Calibri"/>
                <w:sz w:val="22"/>
                <w:szCs w:val="22"/>
              </w:rPr>
              <w:t xml:space="preserve">with </w:t>
            </w:r>
            <w:r w:rsidRPr="00230A66">
              <w:rPr>
                <w:rFonts w:ascii="Calibri" w:hAnsi="Calibri"/>
                <w:sz w:val="22"/>
                <w:szCs w:val="22"/>
              </w:rPr>
              <w:t>the housing delivery goals charts</w:t>
            </w:r>
            <w:r w:rsidR="00E31CF5">
              <w:rPr>
                <w:rFonts w:ascii="Calibri" w:hAnsi="Calibri"/>
                <w:sz w:val="22"/>
                <w:szCs w:val="22"/>
              </w:rPr>
              <w:t>)</w:t>
            </w:r>
            <w:r w:rsidRPr="00230A66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A93224">
              <w:rPr>
                <w:rFonts w:ascii="Calibri" w:hAnsi="Calibri"/>
                <w:sz w:val="22"/>
                <w:szCs w:val="22"/>
              </w:rPr>
              <w:t>It is possible to have more than one code in a strategy such as codes 1 and 2 when you have a down</w:t>
            </w:r>
            <w:r w:rsidR="00FC16C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93224">
              <w:rPr>
                <w:rFonts w:ascii="Calibri" w:hAnsi="Calibri"/>
                <w:sz w:val="22"/>
                <w:szCs w:val="22"/>
              </w:rPr>
              <w:t>payment assistance strategy that allows for purchase with or without rehab. Do not use a Special Ne</w:t>
            </w:r>
            <w:r w:rsidR="009D039D">
              <w:rPr>
                <w:rFonts w:ascii="Calibri" w:hAnsi="Calibri"/>
                <w:sz w:val="22"/>
                <w:szCs w:val="22"/>
              </w:rPr>
              <w:t xml:space="preserve">eds code unless the strategy </w:t>
            </w:r>
            <w:r w:rsidR="00A93224">
              <w:rPr>
                <w:rFonts w:ascii="Calibri" w:hAnsi="Calibri"/>
                <w:sz w:val="22"/>
                <w:szCs w:val="22"/>
              </w:rPr>
              <w:t>only assists those households as defined.</w:t>
            </w:r>
            <w:r w:rsidR="00E31CF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42D9E">
              <w:rPr>
                <w:rFonts w:ascii="Calibri" w:hAnsi="Calibri"/>
                <w:sz w:val="22"/>
                <w:szCs w:val="22"/>
              </w:rPr>
              <w:t>Do not combine homeownership and rental strategies in one strategy except for disaster recovery.</w:t>
            </w:r>
          </w:p>
        </w:tc>
      </w:tr>
      <w:tr w:rsidR="00E75272" w:rsidRPr="00230A66" w14:paraId="4E1743AA" w14:textId="77777777" w:rsidTr="00E92915">
        <w:trPr>
          <w:trHeight w:val="1337"/>
        </w:trPr>
        <w:tc>
          <w:tcPr>
            <w:tcW w:w="2425" w:type="dxa"/>
            <w:vAlign w:val="center"/>
          </w:tcPr>
          <w:p w14:paraId="7C80FCDC" w14:textId="759B736A" w:rsidR="00E75272" w:rsidRPr="00230A66" w:rsidRDefault="00E75272" w:rsidP="00E75272">
            <w:pPr>
              <w:pStyle w:val="Heading3"/>
              <w:rPr>
                <w:rFonts w:ascii="Calibri" w:hAnsi="Calibri"/>
                <w:sz w:val="22"/>
                <w:szCs w:val="22"/>
              </w:rPr>
            </w:pPr>
            <w:r w:rsidRPr="00230A66">
              <w:rPr>
                <w:rFonts w:ascii="Calibri" w:hAnsi="Calibri"/>
                <w:sz w:val="22"/>
                <w:szCs w:val="22"/>
              </w:rPr>
              <w:t>Summary of Strategy</w:t>
            </w:r>
          </w:p>
        </w:tc>
        <w:tc>
          <w:tcPr>
            <w:tcW w:w="8594" w:type="dxa"/>
            <w:vAlign w:val="center"/>
          </w:tcPr>
          <w:p w14:paraId="7B718C10" w14:textId="0BE8A6B1" w:rsidR="00E75272" w:rsidRPr="00230A66" w:rsidRDefault="00E75272" w:rsidP="00D14157">
            <w:pPr>
              <w:pStyle w:val="CommentText"/>
              <w:rPr>
                <w:rFonts w:ascii="Calibri" w:hAnsi="Calibri"/>
                <w:sz w:val="22"/>
                <w:szCs w:val="22"/>
              </w:rPr>
            </w:pPr>
            <w:r w:rsidRPr="00230A66">
              <w:rPr>
                <w:rFonts w:ascii="Calibri" w:hAnsi="Calibri"/>
                <w:sz w:val="22"/>
                <w:szCs w:val="22"/>
              </w:rPr>
              <w:t xml:space="preserve">Provide a concise description of the activity to be carried out under the strategy. Do not state anything that will </w:t>
            </w:r>
            <w:proofErr w:type="gramStart"/>
            <w:r w:rsidRPr="00230A66">
              <w:rPr>
                <w:rFonts w:ascii="Calibri" w:hAnsi="Calibri"/>
                <w:sz w:val="22"/>
                <w:szCs w:val="22"/>
              </w:rPr>
              <w:t>covered</w:t>
            </w:r>
            <w:proofErr w:type="gramEnd"/>
            <w:r w:rsidRPr="00230A66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in other areas of the strategy (such as terms)</w:t>
            </w:r>
            <w:r w:rsidRPr="00230A66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 xml:space="preserve">  Information that is important to the strategy, but that does not belong in this section should be included in “Additional Information”. If it is a ‘sponsor” strategy, state that the funds </w:t>
            </w:r>
            <w:r w:rsidR="00A94C56">
              <w:rPr>
                <w:rFonts w:ascii="Calibri" w:hAnsi="Calibri"/>
                <w:sz w:val="22"/>
                <w:szCs w:val="22"/>
              </w:rPr>
              <w:t xml:space="preserve">will </w:t>
            </w:r>
            <w:r>
              <w:rPr>
                <w:rFonts w:ascii="Calibri" w:hAnsi="Calibri"/>
                <w:sz w:val="22"/>
                <w:szCs w:val="22"/>
              </w:rPr>
              <w:t xml:space="preserve">pass through to the homebuyer </w:t>
            </w:r>
            <w:r w:rsidR="00A94C56">
              <w:rPr>
                <w:rFonts w:ascii="Calibri" w:hAnsi="Calibri"/>
                <w:sz w:val="22"/>
                <w:szCs w:val="22"/>
              </w:rPr>
              <w:t>(</w:t>
            </w:r>
            <w:r>
              <w:rPr>
                <w:rFonts w:ascii="Calibri" w:hAnsi="Calibri"/>
                <w:sz w:val="22"/>
                <w:szCs w:val="22"/>
              </w:rPr>
              <w:t xml:space="preserve">terms for both the sponsor and homebuyer </w:t>
            </w:r>
            <w:r w:rsidR="00A94C56">
              <w:rPr>
                <w:rFonts w:ascii="Calibri" w:hAnsi="Calibri"/>
                <w:sz w:val="22"/>
                <w:szCs w:val="22"/>
              </w:rPr>
              <w:t xml:space="preserve">will be required </w:t>
            </w:r>
            <w:r>
              <w:rPr>
                <w:rFonts w:ascii="Calibri" w:hAnsi="Calibri"/>
                <w:sz w:val="22"/>
                <w:szCs w:val="22"/>
              </w:rPr>
              <w:t>in the terms section</w:t>
            </w:r>
            <w:r w:rsidR="00A94C56">
              <w:rPr>
                <w:rFonts w:ascii="Calibri" w:hAnsi="Calibri"/>
                <w:sz w:val="22"/>
                <w:szCs w:val="22"/>
              </w:rPr>
              <w:t>)</w:t>
            </w:r>
            <w:r>
              <w:rPr>
                <w:rFonts w:ascii="Calibri" w:hAnsi="Calibri"/>
                <w:sz w:val="22"/>
                <w:szCs w:val="22"/>
              </w:rPr>
              <w:t xml:space="preserve">.  </w:t>
            </w:r>
          </w:p>
        </w:tc>
      </w:tr>
      <w:tr w:rsidR="00E75272" w:rsidRPr="00230A66" w14:paraId="079ED124" w14:textId="77777777" w:rsidTr="00E92915">
        <w:trPr>
          <w:trHeight w:val="617"/>
        </w:trPr>
        <w:tc>
          <w:tcPr>
            <w:tcW w:w="2425" w:type="dxa"/>
            <w:vAlign w:val="center"/>
          </w:tcPr>
          <w:p w14:paraId="67B88366" w14:textId="3FC9F50D" w:rsidR="00E75272" w:rsidRPr="00230A66" w:rsidRDefault="00E75272" w:rsidP="00E75272">
            <w:pPr>
              <w:pStyle w:val="Heading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Fiscal Years Covered</w:t>
            </w:r>
          </w:p>
        </w:tc>
        <w:tc>
          <w:tcPr>
            <w:tcW w:w="8594" w:type="dxa"/>
            <w:vAlign w:val="center"/>
          </w:tcPr>
          <w:p w14:paraId="2C95BDCB" w14:textId="63D627F2" w:rsidR="00E75272" w:rsidRPr="00230A66" w:rsidRDefault="00E75272" w:rsidP="00D14157">
            <w:pPr>
              <w:pStyle w:val="Comment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All plans should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cover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7305C1" w:rsidRPr="00190826">
              <w:rPr>
                <w:rFonts w:ascii="Calibri" w:hAnsi="Calibri" w:cs="Calibri"/>
                <w:bCs/>
                <w:sz w:val="22"/>
                <w:szCs w:val="22"/>
              </w:rPr>
              <w:t xml:space="preserve"> 2024</w:t>
            </w:r>
            <w:proofErr w:type="gramEnd"/>
            <w:r w:rsidR="007305C1" w:rsidRPr="00190826">
              <w:rPr>
                <w:rFonts w:ascii="Calibri" w:hAnsi="Calibri" w:cs="Calibri"/>
                <w:bCs/>
                <w:sz w:val="22"/>
                <w:szCs w:val="22"/>
              </w:rPr>
              <w:t>-2025</w:t>
            </w:r>
            <w:r w:rsidR="007305C1">
              <w:rPr>
                <w:rFonts w:ascii="Calibri" w:hAnsi="Calibri" w:cs="Calibri"/>
                <w:bCs/>
                <w:sz w:val="22"/>
                <w:szCs w:val="22"/>
              </w:rPr>
              <w:t>, 2025-2026, 2026-2027</w:t>
            </w:r>
          </w:p>
        </w:tc>
      </w:tr>
      <w:tr w:rsidR="00E75272" w:rsidRPr="00230A66" w14:paraId="4427F4D8" w14:textId="77777777" w:rsidTr="007305C1">
        <w:trPr>
          <w:trHeight w:hRule="exact" w:val="1456"/>
        </w:trPr>
        <w:tc>
          <w:tcPr>
            <w:tcW w:w="2425" w:type="dxa"/>
            <w:vAlign w:val="center"/>
          </w:tcPr>
          <w:p w14:paraId="72CA14FC" w14:textId="4D491885" w:rsidR="00E75272" w:rsidRPr="00230A66" w:rsidRDefault="00E75272" w:rsidP="00E75272">
            <w:pPr>
              <w:pStyle w:val="Heading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Income Categories to be Served</w:t>
            </w:r>
          </w:p>
        </w:tc>
        <w:tc>
          <w:tcPr>
            <w:tcW w:w="8594" w:type="dxa"/>
            <w:vAlign w:val="center"/>
          </w:tcPr>
          <w:p w14:paraId="4D940F9E" w14:textId="58EDFF61" w:rsidR="00E75272" w:rsidRPr="00230A66" w:rsidRDefault="00E75272" w:rsidP="00D14157">
            <w:pPr>
              <w:rPr>
                <w:rFonts w:ascii="Calibri" w:hAnsi="Calibri"/>
                <w:sz w:val="22"/>
                <w:szCs w:val="22"/>
              </w:rPr>
            </w:pPr>
            <w:r w:rsidRPr="00230A66">
              <w:rPr>
                <w:rFonts w:ascii="Calibri" w:hAnsi="Calibri"/>
                <w:sz w:val="22"/>
                <w:szCs w:val="22"/>
              </w:rPr>
              <w:t xml:space="preserve">Only list the defined categories of very low, </w:t>
            </w:r>
            <w:proofErr w:type="gramStart"/>
            <w:r w:rsidRPr="00230A66">
              <w:rPr>
                <w:rFonts w:ascii="Calibri" w:hAnsi="Calibri"/>
                <w:sz w:val="22"/>
                <w:szCs w:val="22"/>
              </w:rPr>
              <w:t>low</w:t>
            </w:r>
            <w:proofErr w:type="gramEnd"/>
            <w:r w:rsidRPr="00230A66">
              <w:rPr>
                <w:rFonts w:ascii="Calibri" w:hAnsi="Calibri"/>
                <w:sz w:val="22"/>
                <w:szCs w:val="22"/>
              </w:rPr>
              <w:t xml:space="preserve"> and moderate by name. Do not list the AMI percentages and do not state “all”.</w:t>
            </w:r>
            <w:r>
              <w:rPr>
                <w:rFonts w:ascii="Calibri" w:hAnsi="Calibri"/>
                <w:sz w:val="22"/>
                <w:szCs w:val="22"/>
              </w:rPr>
              <w:t xml:space="preserve"> The allowance for serving up to 140% AMI did NOT change the definition of moderate which is 120% AMI. If you choose to serve those households above moderate</w:t>
            </w:r>
            <w:r w:rsidR="008A0C09">
              <w:rPr>
                <w:rFonts w:ascii="Calibri" w:hAnsi="Calibri"/>
                <w:sz w:val="22"/>
                <w:szCs w:val="22"/>
              </w:rPr>
              <w:t xml:space="preserve"> up to 140% AMI</w:t>
            </w:r>
            <w:r>
              <w:rPr>
                <w:rFonts w:ascii="Calibri" w:hAnsi="Calibri"/>
                <w:sz w:val="22"/>
                <w:szCs w:val="22"/>
              </w:rPr>
              <w:t xml:space="preserve">, you need to state that. </w:t>
            </w:r>
            <w:r w:rsidR="000B2B70">
              <w:rPr>
                <w:rFonts w:ascii="Calibri" w:hAnsi="Calibri"/>
                <w:sz w:val="22"/>
                <w:szCs w:val="22"/>
              </w:rPr>
              <w:t>You may choose to list ELI in this section, but it is not necessary since it is a subset of VLI.</w:t>
            </w:r>
          </w:p>
        </w:tc>
      </w:tr>
      <w:tr w:rsidR="00E75272" w:rsidRPr="00230A66" w14:paraId="15453832" w14:textId="77777777" w:rsidTr="00E92915">
        <w:trPr>
          <w:trHeight w:val="611"/>
        </w:trPr>
        <w:tc>
          <w:tcPr>
            <w:tcW w:w="2425" w:type="dxa"/>
            <w:vAlign w:val="center"/>
          </w:tcPr>
          <w:p w14:paraId="34ED82D5" w14:textId="717C15DD" w:rsidR="00E75272" w:rsidRPr="00230A66" w:rsidRDefault="00E75272" w:rsidP="00D14157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Maximum Award</w:t>
            </w:r>
          </w:p>
          <w:p w14:paraId="4BE8D125" w14:textId="12B4960F" w:rsidR="00E75272" w:rsidRPr="00230A66" w:rsidRDefault="00E75272" w:rsidP="00E75272">
            <w:pPr>
              <w:pStyle w:val="Heading3"/>
              <w:ind w:left="7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94" w:type="dxa"/>
            <w:vAlign w:val="center"/>
          </w:tcPr>
          <w:p w14:paraId="3DAC47A4" w14:textId="0B541927" w:rsidR="00E75272" w:rsidRPr="00230A66" w:rsidRDefault="00E75272" w:rsidP="00D14157">
            <w:pPr>
              <w:pStyle w:val="Comment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This should be the per unit maximum award and should include all program costs charged to the household including project delivery costs. If it is a rental development strategy, list the award amount </w:t>
            </w:r>
            <w:r w:rsidR="00D239AC">
              <w:rPr>
                <w:rFonts w:ascii="Calibri" w:hAnsi="Calibri"/>
                <w:sz w:val="22"/>
                <w:szCs w:val="22"/>
              </w:rPr>
              <w:t>by</w:t>
            </w:r>
            <w:r>
              <w:rPr>
                <w:rFonts w:ascii="Calibri" w:hAnsi="Calibri"/>
                <w:sz w:val="22"/>
                <w:szCs w:val="22"/>
              </w:rPr>
              <w:t xml:space="preserve"> unit </w:t>
            </w:r>
            <w:r w:rsidR="00D239AC">
              <w:rPr>
                <w:rFonts w:ascii="Calibri" w:hAnsi="Calibri"/>
                <w:sz w:val="22"/>
                <w:szCs w:val="22"/>
              </w:rPr>
              <w:t>and</w:t>
            </w:r>
            <w:r>
              <w:rPr>
                <w:rFonts w:ascii="Calibri" w:hAnsi="Calibri"/>
                <w:sz w:val="22"/>
                <w:szCs w:val="22"/>
              </w:rPr>
              <w:t xml:space="preserve"> development</w:t>
            </w:r>
            <w:r w:rsidR="00D239AC">
              <w:rPr>
                <w:rFonts w:ascii="Calibri" w:hAnsi="Calibri"/>
                <w:sz w:val="22"/>
                <w:szCs w:val="22"/>
              </w:rPr>
              <w:t xml:space="preserve"> total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E75272" w:rsidRPr="00230A66" w14:paraId="0E87E4F3" w14:textId="77777777" w:rsidTr="00E92915">
        <w:trPr>
          <w:trHeight w:val="467"/>
        </w:trPr>
        <w:tc>
          <w:tcPr>
            <w:tcW w:w="2425" w:type="dxa"/>
            <w:vAlign w:val="center"/>
          </w:tcPr>
          <w:p w14:paraId="07D69A38" w14:textId="4465C801" w:rsidR="00E75272" w:rsidRPr="00E75272" w:rsidRDefault="00E75272" w:rsidP="00D14157">
            <w:pPr>
              <w:pStyle w:val="Heading3"/>
              <w:rPr>
                <w:rFonts w:ascii="Calibri" w:hAnsi="Calibri"/>
                <w:sz w:val="22"/>
                <w:szCs w:val="22"/>
              </w:rPr>
            </w:pPr>
            <w:r w:rsidRPr="00E75272">
              <w:rPr>
                <w:rFonts w:ascii="Calibri" w:hAnsi="Calibri"/>
                <w:sz w:val="22"/>
                <w:szCs w:val="22"/>
              </w:rPr>
              <w:t>Terms</w:t>
            </w:r>
          </w:p>
        </w:tc>
        <w:tc>
          <w:tcPr>
            <w:tcW w:w="8594" w:type="dxa"/>
            <w:shd w:val="clear" w:color="auto" w:fill="A6A6A6" w:themeFill="background1" w:themeFillShade="A6"/>
            <w:vAlign w:val="center"/>
          </w:tcPr>
          <w:p w14:paraId="0B1C3AB3" w14:textId="77777777" w:rsidR="00802696" w:rsidRPr="004142A3" w:rsidRDefault="00E75272" w:rsidP="00D14157">
            <w:pPr>
              <w:rPr>
                <w:rFonts w:ascii="Calibri" w:hAnsi="Calibri"/>
                <w:sz w:val="22"/>
                <w:szCs w:val="22"/>
              </w:rPr>
            </w:pPr>
            <w:r w:rsidRPr="004142A3">
              <w:rPr>
                <w:rFonts w:ascii="Calibri" w:hAnsi="Calibri"/>
                <w:sz w:val="22"/>
                <w:szCs w:val="22"/>
              </w:rPr>
              <w:t xml:space="preserve">NOTE: If a strategy awards fund initially to sponsors </w:t>
            </w:r>
            <w:r w:rsidR="00B4312C" w:rsidRPr="004142A3">
              <w:rPr>
                <w:rFonts w:ascii="Calibri" w:hAnsi="Calibri"/>
                <w:sz w:val="22"/>
                <w:szCs w:val="22"/>
              </w:rPr>
              <w:t>with a portion being passed</w:t>
            </w:r>
            <w:r w:rsidR="00802696" w:rsidRPr="004142A3">
              <w:rPr>
                <w:rFonts w:ascii="Calibri" w:hAnsi="Calibri"/>
                <w:sz w:val="22"/>
                <w:szCs w:val="22"/>
              </w:rPr>
              <w:t xml:space="preserve"> through to an</w:t>
            </w:r>
            <w:r w:rsidRPr="004142A3">
              <w:rPr>
                <w:rFonts w:ascii="Calibri" w:hAnsi="Calibri"/>
                <w:sz w:val="22"/>
                <w:szCs w:val="22"/>
              </w:rPr>
              <w:t xml:space="preserve"> applicant, make sure you</w:t>
            </w:r>
            <w:r w:rsidR="00802696" w:rsidRPr="004142A3">
              <w:rPr>
                <w:rFonts w:ascii="Calibri" w:hAnsi="Calibri"/>
                <w:sz w:val="22"/>
                <w:szCs w:val="22"/>
              </w:rPr>
              <w:t>:</w:t>
            </w:r>
          </w:p>
          <w:p w14:paraId="6C472EC8" w14:textId="42FE302F" w:rsidR="00E75272" w:rsidRPr="004142A3" w:rsidRDefault="00F64282" w:rsidP="00802696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4142A3">
              <w:rPr>
                <w:rFonts w:ascii="Calibri" w:hAnsi="Calibri"/>
                <w:sz w:val="22"/>
                <w:szCs w:val="22"/>
              </w:rPr>
              <w:t>C</w:t>
            </w:r>
            <w:r w:rsidR="00E75272" w:rsidRPr="004142A3">
              <w:rPr>
                <w:rFonts w:ascii="Calibri" w:hAnsi="Calibri"/>
                <w:sz w:val="22"/>
                <w:szCs w:val="22"/>
              </w:rPr>
              <w:t xml:space="preserve">learly state separate terms </w:t>
            </w:r>
            <w:proofErr w:type="gramStart"/>
            <w:r w:rsidR="00E75272" w:rsidRPr="004142A3">
              <w:rPr>
                <w:rFonts w:ascii="Calibri" w:hAnsi="Calibri"/>
                <w:sz w:val="22"/>
                <w:szCs w:val="22"/>
              </w:rPr>
              <w:t>for  the</w:t>
            </w:r>
            <w:proofErr w:type="gramEnd"/>
            <w:r w:rsidR="00E75272" w:rsidRPr="004142A3">
              <w:rPr>
                <w:rFonts w:ascii="Calibri" w:hAnsi="Calibri"/>
                <w:sz w:val="22"/>
                <w:szCs w:val="22"/>
              </w:rPr>
              <w:t xml:space="preserve"> Sponsor and the homebuyer.</w:t>
            </w:r>
          </w:p>
          <w:p w14:paraId="4EE6FD15" w14:textId="391CF70F" w:rsidR="00802696" w:rsidRPr="004142A3" w:rsidRDefault="006475DD" w:rsidP="00802696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4142A3">
              <w:rPr>
                <w:rFonts w:ascii="Calibri" w:hAnsi="Calibri"/>
                <w:sz w:val="22"/>
                <w:szCs w:val="22"/>
              </w:rPr>
              <w:t>Clearly describe how (and how much) funds are passed through to the homebuyer.</w:t>
            </w:r>
          </w:p>
        </w:tc>
      </w:tr>
      <w:tr w:rsidR="00E75272" w:rsidRPr="00230A66" w14:paraId="6C57CC69" w14:textId="77777777" w:rsidTr="00E92915">
        <w:trPr>
          <w:trHeight w:val="296"/>
        </w:trPr>
        <w:tc>
          <w:tcPr>
            <w:tcW w:w="2425" w:type="dxa"/>
            <w:vAlign w:val="center"/>
          </w:tcPr>
          <w:p w14:paraId="0E66FB59" w14:textId="76660477" w:rsidR="00E75272" w:rsidRPr="00230A66" w:rsidRDefault="00E75272" w:rsidP="00D14157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230A66">
              <w:rPr>
                <w:rFonts w:ascii="Calibri" w:hAnsi="Calibri"/>
                <w:b/>
                <w:sz w:val="22"/>
                <w:szCs w:val="22"/>
              </w:rPr>
              <w:t xml:space="preserve">Repayment </w:t>
            </w:r>
            <w:r>
              <w:rPr>
                <w:rFonts w:ascii="Calibri" w:hAnsi="Calibri"/>
                <w:b/>
                <w:sz w:val="22"/>
                <w:szCs w:val="22"/>
              </w:rPr>
              <w:t>L</w:t>
            </w:r>
            <w:r w:rsidRPr="00230A66">
              <w:rPr>
                <w:rFonts w:ascii="Calibri" w:hAnsi="Calibri"/>
                <w:b/>
                <w:sz w:val="22"/>
                <w:szCs w:val="22"/>
              </w:rPr>
              <w:t xml:space="preserve">oan, Deferred loan, Grant </w:t>
            </w:r>
          </w:p>
        </w:tc>
        <w:tc>
          <w:tcPr>
            <w:tcW w:w="8594" w:type="dxa"/>
            <w:vAlign w:val="center"/>
          </w:tcPr>
          <w:p w14:paraId="1FC53A3C" w14:textId="467CC1FD" w:rsidR="00E75272" w:rsidRPr="00972A05" w:rsidRDefault="00E75272" w:rsidP="00D14157">
            <w:pPr>
              <w:rPr>
                <w:rFonts w:ascii="Calibri" w:hAnsi="Calibri"/>
                <w:sz w:val="22"/>
                <w:szCs w:val="22"/>
              </w:rPr>
            </w:pPr>
            <w:r w:rsidRPr="00230A66">
              <w:rPr>
                <w:rFonts w:ascii="Calibri" w:hAnsi="Calibri"/>
                <w:sz w:val="22"/>
                <w:szCs w:val="22"/>
              </w:rPr>
              <w:t xml:space="preserve">State whether the funds are awarded as a loan that is paid back, deferred or as a grant. Note that grants are limited to </w:t>
            </w:r>
            <w:r>
              <w:rPr>
                <w:rFonts w:ascii="Calibri" w:hAnsi="Calibri"/>
                <w:sz w:val="22"/>
                <w:szCs w:val="22"/>
              </w:rPr>
              <w:t>specific activities defined in R</w:t>
            </w:r>
            <w:r w:rsidRPr="00230A66">
              <w:rPr>
                <w:rFonts w:ascii="Calibri" w:hAnsi="Calibri"/>
                <w:sz w:val="22"/>
                <w:szCs w:val="22"/>
              </w:rPr>
              <w:t>ule. For loans</w:t>
            </w:r>
            <w:r w:rsidR="0022185C">
              <w:rPr>
                <w:rFonts w:ascii="Calibri" w:hAnsi="Calibri"/>
                <w:sz w:val="22"/>
                <w:szCs w:val="22"/>
              </w:rPr>
              <w:t>,</w:t>
            </w:r>
            <w:r w:rsidRPr="00230A66">
              <w:rPr>
                <w:rFonts w:ascii="Calibri" w:hAnsi="Calibri"/>
                <w:sz w:val="22"/>
                <w:szCs w:val="22"/>
              </w:rPr>
              <w:t xml:space="preserve"> please add the</w:t>
            </w:r>
            <w:r>
              <w:rPr>
                <w:rFonts w:ascii="Calibri" w:hAnsi="Calibri"/>
                <w:sz w:val="22"/>
                <w:szCs w:val="22"/>
              </w:rPr>
              <w:t xml:space="preserve"> phrase “secured by a recorded Mortgage and Note</w:t>
            </w:r>
            <w:r w:rsidRPr="00230A66">
              <w:rPr>
                <w:rFonts w:ascii="Calibri" w:hAnsi="Calibri"/>
                <w:sz w:val="22"/>
                <w:szCs w:val="22"/>
              </w:rPr>
              <w:t xml:space="preserve">”. </w:t>
            </w:r>
            <w:r w:rsidR="00EA3858">
              <w:rPr>
                <w:rFonts w:ascii="Calibri" w:hAnsi="Calibri"/>
                <w:sz w:val="22"/>
                <w:szCs w:val="22"/>
              </w:rPr>
              <w:t>Grants should be limited to no more than $15,000 per applicant and for strategies such as disaster or emergency repairs.</w:t>
            </w:r>
          </w:p>
        </w:tc>
      </w:tr>
      <w:tr w:rsidR="00E75272" w:rsidRPr="00230A66" w14:paraId="5182F4C7" w14:textId="77777777" w:rsidTr="00E92915">
        <w:trPr>
          <w:trHeight w:val="428"/>
        </w:trPr>
        <w:tc>
          <w:tcPr>
            <w:tcW w:w="2425" w:type="dxa"/>
            <w:vAlign w:val="center"/>
          </w:tcPr>
          <w:p w14:paraId="7F49D652" w14:textId="70506B36" w:rsidR="00E75272" w:rsidRPr="00230A66" w:rsidRDefault="00E75272" w:rsidP="00E75272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230A66">
              <w:rPr>
                <w:rFonts w:ascii="Calibri" w:hAnsi="Calibri"/>
                <w:b/>
                <w:sz w:val="22"/>
                <w:szCs w:val="22"/>
              </w:rPr>
              <w:t>Interest Rate:  %</w:t>
            </w:r>
          </w:p>
        </w:tc>
        <w:tc>
          <w:tcPr>
            <w:tcW w:w="8594" w:type="dxa"/>
            <w:vAlign w:val="center"/>
          </w:tcPr>
          <w:p w14:paraId="4EB0037F" w14:textId="73BF265A" w:rsidR="00E75272" w:rsidRPr="00230A66" w:rsidRDefault="00E75272" w:rsidP="00D14157">
            <w:pPr>
              <w:pStyle w:val="Comment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Please state it simply, such as “0%”. For a grant, state N/A.</w:t>
            </w:r>
          </w:p>
        </w:tc>
      </w:tr>
      <w:tr w:rsidR="00E75272" w:rsidRPr="00230A66" w14:paraId="759BDD20" w14:textId="77777777" w:rsidTr="00E92915">
        <w:trPr>
          <w:trHeight w:val="404"/>
        </w:trPr>
        <w:tc>
          <w:tcPr>
            <w:tcW w:w="2425" w:type="dxa"/>
            <w:vAlign w:val="center"/>
          </w:tcPr>
          <w:p w14:paraId="27F567BC" w14:textId="37EF7E34" w:rsidR="00E75272" w:rsidRPr="00230A66" w:rsidRDefault="00E75272" w:rsidP="00E75272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Years</w:t>
            </w:r>
          </w:p>
        </w:tc>
        <w:tc>
          <w:tcPr>
            <w:tcW w:w="8594" w:type="dxa"/>
            <w:vAlign w:val="center"/>
          </w:tcPr>
          <w:p w14:paraId="0C99714A" w14:textId="3C951630" w:rsidR="00E75272" w:rsidRPr="00230A66" w:rsidRDefault="00E75272" w:rsidP="00D14157">
            <w:pPr>
              <w:rPr>
                <w:rFonts w:ascii="Calibri" w:hAnsi="Calibri"/>
                <w:sz w:val="22"/>
                <w:szCs w:val="22"/>
              </w:rPr>
            </w:pPr>
            <w:r w:rsidRPr="00230A66">
              <w:rPr>
                <w:rFonts w:ascii="Calibri" w:hAnsi="Calibri"/>
                <w:sz w:val="22"/>
                <w:szCs w:val="22"/>
              </w:rPr>
              <w:t>Number of years the loan is secured for.</w:t>
            </w:r>
            <w:r>
              <w:rPr>
                <w:rFonts w:ascii="Calibri" w:hAnsi="Calibri"/>
                <w:sz w:val="22"/>
                <w:szCs w:val="22"/>
              </w:rPr>
              <w:t xml:space="preserve"> For a grant, state N/A.</w:t>
            </w:r>
          </w:p>
        </w:tc>
      </w:tr>
      <w:tr w:rsidR="00E75272" w:rsidRPr="00230A66" w14:paraId="31434FF5" w14:textId="77777777" w:rsidTr="00E92915">
        <w:trPr>
          <w:trHeight w:val="341"/>
        </w:trPr>
        <w:tc>
          <w:tcPr>
            <w:tcW w:w="2425" w:type="dxa"/>
            <w:vAlign w:val="center"/>
          </w:tcPr>
          <w:p w14:paraId="777F0C22" w14:textId="75C10C4F" w:rsidR="00E75272" w:rsidRPr="00230A66" w:rsidRDefault="00E75272" w:rsidP="00E75272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Forgiveness</w:t>
            </w:r>
          </w:p>
        </w:tc>
        <w:tc>
          <w:tcPr>
            <w:tcW w:w="8594" w:type="dxa"/>
            <w:vAlign w:val="center"/>
          </w:tcPr>
          <w:p w14:paraId="600169C3" w14:textId="1053A615" w:rsidR="00E75272" w:rsidRPr="00230A66" w:rsidRDefault="00E75272" w:rsidP="00D14157">
            <w:pPr>
              <w:pStyle w:val="Comment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State if any</w:t>
            </w:r>
            <w:r w:rsidRPr="00230A66">
              <w:rPr>
                <w:rFonts w:ascii="Calibri" w:hAnsi="Calibri"/>
                <w:sz w:val="22"/>
                <w:szCs w:val="22"/>
              </w:rPr>
              <w:t xml:space="preserve"> portion of the loan will be </w:t>
            </w:r>
            <w:r>
              <w:rPr>
                <w:rFonts w:ascii="Calibri" w:hAnsi="Calibri"/>
                <w:sz w:val="22"/>
                <w:szCs w:val="22"/>
              </w:rPr>
              <w:t>forgiven</w:t>
            </w:r>
            <w:r w:rsidRPr="00230A66">
              <w:rPr>
                <w:rFonts w:ascii="Calibri" w:hAnsi="Calibri"/>
                <w:sz w:val="22"/>
                <w:szCs w:val="22"/>
              </w:rPr>
              <w:t xml:space="preserve">. Be clear to state whether the forgiveness is prorated over the term of the loan or forgiven in whole at the end of the term. </w:t>
            </w:r>
            <w:r w:rsidRPr="00FF363A">
              <w:rPr>
                <w:rFonts w:ascii="Calibri" w:hAnsi="Calibri"/>
                <w:b/>
                <w:bCs/>
                <w:sz w:val="22"/>
                <w:szCs w:val="22"/>
              </w:rPr>
              <w:t>Do not refer to default situations in this section.</w:t>
            </w:r>
            <w:r>
              <w:rPr>
                <w:rFonts w:ascii="Calibri" w:hAnsi="Calibri"/>
                <w:sz w:val="22"/>
                <w:szCs w:val="22"/>
              </w:rPr>
              <w:t xml:space="preserve"> This is only </w:t>
            </w:r>
            <w:r w:rsidRPr="00230A66">
              <w:rPr>
                <w:rFonts w:ascii="Calibri" w:hAnsi="Calibri"/>
                <w:sz w:val="22"/>
                <w:szCs w:val="22"/>
              </w:rPr>
              <w:t>whe</w:t>
            </w:r>
            <w:r>
              <w:rPr>
                <w:rFonts w:ascii="Calibri" w:hAnsi="Calibri"/>
                <w:sz w:val="22"/>
                <w:szCs w:val="22"/>
              </w:rPr>
              <w:t>n loans remain in good standing</w:t>
            </w:r>
            <w:r w:rsidRPr="00230A66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E75272" w:rsidRPr="00230A66" w14:paraId="08FCC3C6" w14:textId="77777777" w:rsidTr="00E92915">
        <w:trPr>
          <w:trHeight w:val="720"/>
        </w:trPr>
        <w:tc>
          <w:tcPr>
            <w:tcW w:w="2425" w:type="dxa"/>
            <w:vAlign w:val="center"/>
          </w:tcPr>
          <w:p w14:paraId="7E5F35FA" w14:textId="3A0A088A" w:rsidR="00E75272" w:rsidRPr="00230A66" w:rsidRDefault="00E75272" w:rsidP="00E75272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Repayment</w:t>
            </w:r>
          </w:p>
        </w:tc>
        <w:tc>
          <w:tcPr>
            <w:tcW w:w="8594" w:type="dxa"/>
            <w:vAlign w:val="center"/>
          </w:tcPr>
          <w:p w14:paraId="25A6BF11" w14:textId="5F135914" w:rsidR="00E75272" w:rsidRPr="00230A66" w:rsidRDefault="00E75272" w:rsidP="00D14157">
            <w:pPr>
              <w:pStyle w:val="CommentText"/>
              <w:rPr>
                <w:rFonts w:ascii="Calibri" w:hAnsi="Calibri"/>
                <w:sz w:val="22"/>
                <w:szCs w:val="22"/>
              </w:rPr>
            </w:pPr>
            <w:r w:rsidRPr="00230A66">
              <w:rPr>
                <w:rFonts w:ascii="Calibri" w:hAnsi="Calibri"/>
                <w:sz w:val="22"/>
                <w:szCs w:val="22"/>
              </w:rPr>
              <w:t>If a loan requires payments during the term or a balloon payment at</w:t>
            </w:r>
            <w:r>
              <w:rPr>
                <w:rFonts w:ascii="Calibri" w:hAnsi="Calibri"/>
                <w:sz w:val="22"/>
                <w:szCs w:val="22"/>
              </w:rPr>
              <w:t xml:space="preserve"> the end of the term, state those terms/requirements</w:t>
            </w:r>
            <w:r w:rsidRPr="00230A66">
              <w:rPr>
                <w:rFonts w:ascii="Calibri" w:hAnsi="Calibri"/>
                <w:sz w:val="22"/>
                <w:szCs w:val="22"/>
              </w:rPr>
              <w:t xml:space="preserve"> here.</w:t>
            </w:r>
            <w:r>
              <w:rPr>
                <w:rFonts w:ascii="Calibri" w:hAnsi="Calibri"/>
                <w:sz w:val="22"/>
                <w:szCs w:val="22"/>
              </w:rPr>
              <w:t xml:space="preserve"> If not, simply state “None required as long as loan is in good standing.” </w:t>
            </w:r>
            <w:r w:rsidRPr="00340CC6">
              <w:rPr>
                <w:rFonts w:ascii="Calibri" w:hAnsi="Calibri"/>
                <w:b/>
                <w:bCs/>
                <w:sz w:val="22"/>
                <w:szCs w:val="22"/>
              </w:rPr>
              <w:t>Do not state default terms in this section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E75272" w:rsidRPr="00230A66" w14:paraId="77965A7B" w14:textId="77777777" w:rsidTr="00E92915">
        <w:trPr>
          <w:trHeight w:val="720"/>
        </w:trPr>
        <w:tc>
          <w:tcPr>
            <w:tcW w:w="2425" w:type="dxa"/>
            <w:vAlign w:val="center"/>
          </w:tcPr>
          <w:p w14:paraId="63EF392D" w14:textId="24D3DB19" w:rsidR="00E75272" w:rsidRPr="00230A66" w:rsidRDefault="00E75272" w:rsidP="00E75272"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Default</w:t>
            </w:r>
          </w:p>
        </w:tc>
        <w:tc>
          <w:tcPr>
            <w:tcW w:w="8594" w:type="dxa"/>
            <w:vAlign w:val="center"/>
          </w:tcPr>
          <w:p w14:paraId="6B7160AA" w14:textId="7D8CFD07" w:rsidR="00E75272" w:rsidRPr="00230A66" w:rsidRDefault="00E75272" w:rsidP="00D14157">
            <w:pPr>
              <w:pStyle w:val="CommentText"/>
              <w:rPr>
                <w:rFonts w:ascii="Calibri" w:hAnsi="Calibri"/>
                <w:sz w:val="22"/>
                <w:szCs w:val="22"/>
              </w:rPr>
            </w:pPr>
            <w:r w:rsidRPr="00230A66">
              <w:rPr>
                <w:rFonts w:ascii="Calibri" w:hAnsi="Calibri"/>
                <w:sz w:val="22"/>
                <w:szCs w:val="22"/>
              </w:rPr>
              <w:t xml:space="preserve">This section is to </w:t>
            </w:r>
            <w:r w:rsidR="00340CC6">
              <w:rPr>
                <w:rFonts w:ascii="Calibri" w:hAnsi="Calibri"/>
                <w:sz w:val="22"/>
                <w:szCs w:val="22"/>
              </w:rPr>
              <w:t>detail</w:t>
            </w:r>
            <w:r w:rsidRPr="00230A66">
              <w:rPr>
                <w:rFonts w:ascii="Calibri" w:hAnsi="Calibri"/>
                <w:sz w:val="22"/>
                <w:szCs w:val="22"/>
              </w:rPr>
              <w:t xml:space="preserve"> situations</w:t>
            </w:r>
            <w:r>
              <w:rPr>
                <w:rFonts w:ascii="Calibri" w:hAnsi="Calibri"/>
                <w:sz w:val="22"/>
                <w:szCs w:val="22"/>
              </w:rPr>
              <w:t xml:space="preserve"> where the loan does not remain in good standing</w:t>
            </w:r>
            <w:r w:rsidRPr="00230A66">
              <w:rPr>
                <w:rFonts w:ascii="Calibri" w:hAnsi="Calibri"/>
                <w:sz w:val="22"/>
                <w:szCs w:val="22"/>
              </w:rPr>
              <w:t xml:space="preserve"> through the term. It could include sale, transfer, conversion to rental or death</w:t>
            </w:r>
            <w:r>
              <w:rPr>
                <w:rFonts w:ascii="Calibri" w:hAnsi="Calibri"/>
                <w:sz w:val="22"/>
                <w:szCs w:val="22"/>
              </w:rPr>
              <w:t xml:space="preserve"> of homeowner(s)</w:t>
            </w:r>
            <w:r w:rsidRPr="00230A66">
              <w:rPr>
                <w:rFonts w:ascii="Calibri" w:hAnsi="Calibri"/>
                <w:sz w:val="22"/>
                <w:szCs w:val="22"/>
              </w:rPr>
              <w:t>. Please state what conditio</w:t>
            </w:r>
            <w:r>
              <w:rPr>
                <w:rFonts w:ascii="Calibri" w:hAnsi="Calibri"/>
                <w:sz w:val="22"/>
                <w:szCs w:val="22"/>
              </w:rPr>
              <w:t>ns constitute a default and the consequences</w:t>
            </w:r>
            <w:r w:rsidRPr="00230A66">
              <w:rPr>
                <w:rFonts w:ascii="Calibri" w:hAnsi="Calibri"/>
                <w:sz w:val="22"/>
                <w:szCs w:val="22"/>
              </w:rPr>
              <w:t>. Please state what occurs if the homeowner dies (payback, assumption by eligible heir).</w:t>
            </w:r>
          </w:p>
        </w:tc>
      </w:tr>
      <w:tr w:rsidR="00E75272" w:rsidRPr="00230A66" w14:paraId="2A497CB5" w14:textId="77777777" w:rsidTr="00DB0DA7">
        <w:trPr>
          <w:trHeight w:val="545"/>
        </w:trPr>
        <w:tc>
          <w:tcPr>
            <w:tcW w:w="2425" w:type="dxa"/>
            <w:vAlign w:val="center"/>
          </w:tcPr>
          <w:p w14:paraId="7E1DFFC3" w14:textId="2406F69C" w:rsidR="00E75272" w:rsidRPr="00E75272" w:rsidRDefault="00E75272" w:rsidP="00E75272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E75272">
              <w:rPr>
                <w:rFonts w:ascii="Calibri" w:hAnsi="Calibri"/>
                <w:b/>
                <w:sz w:val="22"/>
                <w:szCs w:val="22"/>
              </w:rPr>
              <w:t>Recipient</w:t>
            </w:r>
            <w:r w:rsidR="00DB0DA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E75272">
              <w:rPr>
                <w:rFonts w:ascii="Calibri" w:hAnsi="Calibri"/>
                <w:b/>
                <w:sz w:val="22"/>
                <w:szCs w:val="22"/>
              </w:rPr>
              <w:t xml:space="preserve">Selection </w:t>
            </w:r>
          </w:p>
        </w:tc>
        <w:tc>
          <w:tcPr>
            <w:tcW w:w="8594" w:type="dxa"/>
            <w:vAlign w:val="center"/>
          </w:tcPr>
          <w:p w14:paraId="5FE9E029" w14:textId="26D63654" w:rsidR="00E75272" w:rsidRPr="00230A66" w:rsidRDefault="00E75272" w:rsidP="00D14157">
            <w:pPr>
              <w:pStyle w:val="CommentText"/>
              <w:rPr>
                <w:rFonts w:ascii="Calibri" w:hAnsi="Calibri"/>
                <w:sz w:val="22"/>
                <w:szCs w:val="22"/>
              </w:rPr>
            </w:pPr>
            <w:r w:rsidRPr="00230A66">
              <w:rPr>
                <w:rFonts w:ascii="Calibri" w:hAnsi="Calibri"/>
                <w:sz w:val="22"/>
                <w:szCs w:val="22"/>
              </w:rPr>
              <w:t xml:space="preserve">At a minimum state “first-qualified, first-served”.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30A66">
              <w:rPr>
                <w:rFonts w:ascii="Calibri" w:hAnsi="Calibri"/>
                <w:sz w:val="22"/>
                <w:szCs w:val="22"/>
              </w:rPr>
              <w:t xml:space="preserve">Add any special priorities for selection. </w:t>
            </w:r>
          </w:p>
        </w:tc>
      </w:tr>
      <w:tr w:rsidR="00E75272" w:rsidRPr="00230A66" w14:paraId="43CD127A" w14:textId="77777777" w:rsidTr="00E92915">
        <w:trPr>
          <w:trHeight w:val="720"/>
        </w:trPr>
        <w:tc>
          <w:tcPr>
            <w:tcW w:w="2425" w:type="dxa"/>
            <w:vAlign w:val="center"/>
          </w:tcPr>
          <w:p w14:paraId="3FEF1F24" w14:textId="60528E5F" w:rsidR="00E75272" w:rsidRPr="00230A66" w:rsidRDefault="00E75272" w:rsidP="00D14157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Sponsor Selection </w:t>
            </w:r>
          </w:p>
          <w:p w14:paraId="5E1A2348" w14:textId="0C15EB43" w:rsidR="00E75272" w:rsidRPr="00230A66" w:rsidRDefault="00E75272" w:rsidP="00D14157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94" w:type="dxa"/>
            <w:vAlign w:val="center"/>
          </w:tcPr>
          <w:p w14:paraId="2BC87213" w14:textId="004E4C96" w:rsidR="00E75272" w:rsidRPr="00230A66" w:rsidRDefault="00E75272" w:rsidP="00D14157">
            <w:pPr>
              <w:pStyle w:val="CommentText"/>
              <w:rPr>
                <w:rFonts w:ascii="Calibri" w:hAnsi="Calibri"/>
                <w:sz w:val="22"/>
                <w:szCs w:val="22"/>
              </w:rPr>
            </w:pPr>
            <w:r w:rsidRPr="00230A66">
              <w:rPr>
                <w:rFonts w:ascii="Calibri" w:hAnsi="Calibri"/>
                <w:sz w:val="22"/>
                <w:szCs w:val="22"/>
              </w:rPr>
              <w:t>A sponsor is an entity to which an award of funds has been made. This does not include a sub-recipient that is under contract to the LG to perform administration of the program or a contractor selected to perform work. If this is done by an RFP process, please provide a general overview of that process and give a summarized list of requirements (experience, financial capacity, etc.)</w:t>
            </w:r>
          </w:p>
        </w:tc>
      </w:tr>
      <w:tr w:rsidR="00E75272" w:rsidRPr="00230A66" w14:paraId="3C05F643" w14:textId="77777777" w:rsidTr="00E92915">
        <w:trPr>
          <w:trHeight w:val="720"/>
        </w:trPr>
        <w:tc>
          <w:tcPr>
            <w:tcW w:w="2425" w:type="dxa"/>
            <w:vAlign w:val="center"/>
          </w:tcPr>
          <w:p w14:paraId="242BB909" w14:textId="16283BBF" w:rsidR="00E75272" w:rsidRPr="00230A66" w:rsidRDefault="00E75272" w:rsidP="00D14157">
            <w:pPr>
              <w:pStyle w:val="Heading3"/>
              <w:rPr>
                <w:rFonts w:ascii="Calibri" w:hAnsi="Calibri"/>
                <w:sz w:val="22"/>
                <w:szCs w:val="22"/>
              </w:rPr>
            </w:pPr>
            <w:r w:rsidRPr="00230A66">
              <w:rPr>
                <w:rFonts w:ascii="Calibri" w:hAnsi="Calibri"/>
                <w:sz w:val="22"/>
                <w:szCs w:val="22"/>
              </w:rPr>
              <w:t xml:space="preserve">Additional Information </w:t>
            </w:r>
          </w:p>
        </w:tc>
        <w:tc>
          <w:tcPr>
            <w:tcW w:w="8594" w:type="dxa"/>
            <w:vAlign w:val="center"/>
          </w:tcPr>
          <w:p w14:paraId="3C664F88" w14:textId="125346FB" w:rsidR="00E75272" w:rsidRPr="00230A66" w:rsidRDefault="00E75272" w:rsidP="00D14157">
            <w:pPr>
              <w:pStyle w:val="CommentText"/>
              <w:rPr>
                <w:rFonts w:ascii="Calibri" w:hAnsi="Calibri"/>
                <w:sz w:val="22"/>
                <w:szCs w:val="22"/>
              </w:rPr>
            </w:pPr>
            <w:r w:rsidRPr="00230A66">
              <w:rPr>
                <w:rFonts w:ascii="Calibri" w:hAnsi="Calibri"/>
                <w:sz w:val="22"/>
                <w:szCs w:val="22"/>
              </w:rPr>
              <w:t>Use this section to detail any</w:t>
            </w:r>
            <w:r>
              <w:rPr>
                <w:rFonts w:ascii="Calibri" w:hAnsi="Calibri"/>
                <w:sz w:val="22"/>
                <w:szCs w:val="22"/>
              </w:rPr>
              <w:t xml:space="preserve">thing that is not covered in the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summary  above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. This could </w:t>
            </w:r>
            <w:r w:rsidRPr="00230A66">
              <w:rPr>
                <w:rFonts w:ascii="Calibri" w:hAnsi="Calibri"/>
                <w:sz w:val="22"/>
                <w:szCs w:val="22"/>
              </w:rPr>
              <w:t>include restrictions agains</w:t>
            </w:r>
            <w:r>
              <w:rPr>
                <w:rFonts w:ascii="Calibri" w:hAnsi="Calibri"/>
                <w:sz w:val="22"/>
                <w:szCs w:val="22"/>
              </w:rPr>
              <w:t>t assisting mobile homes or</w:t>
            </w:r>
            <w:r w:rsidRPr="00230A66">
              <w:rPr>
                <w:rFonts w:ascii="Calibri" w:hAnsi="Calibri"/>
                <w:sz w:val="22"/>
                <w:szCs w:val="22"/>
              </w:rPr>
              <w:t xml:space="preserve"> households receiving SHIP funds more than one time, for example. </w:t>
            </w:r>
          </w:p>
        </w:tc>
      </w:tr>
      <w:tr w:rsidR="00E75272" w:rsidRPr="00230A66" w14:paraId="573EA087" w14:textId="77777777" w:rsidTr="00D877CC">
        <w:trPr>
          <w:trHeight w:val="720"/>
        </w:trPr>
        <w:tc>
          <w:tcPr>
            <w:tcW w:w="11019" w:type="dxa"/>
            <w:gridSpan w:val="2"/>
            <w:vAlign w:val="center"/>
          </w:tcPr>
          <w:p w14:paraId="6AD061A3" w14:textId="5E76F9B5" w:rsidR="00E75272" w:rsidRPr="00230A66" w:rsidRDefault="00E75272" w:rsidP="00D14157">
            <w:pPr>
              <w:pStyle w:val="Comment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General Note: if you are referencing a separate policy document in the LHAP, either summarize the policy in the affected strategies or attach the document as an exhibit.</w:t>
            </w:r>
          </w:p>
        </w:tc>
      </w:tr>
    </w:tbl>
    <w:p w14:paraId="18A12DB1" w14:textId="270165D9" w:rsidR="0083563E" w:rsidRPr="00230A66" w:rsidRDefault="0083563E" w:rsidP="006D599E">
      <w:pPr>
        <w:pStyle w:val="Heading4"/>
        <w:rPr>
          <w:rFonts w:ascii="Calibri" w:hAnsi="Calibri"/>
          <w:sz w:val="22"/>
          <w:szCs w:val="22"/>
        </w:rPr>
      </w:pPr>
    </w:p>
    <w:sectPr w:rsidR="0083563E" w:rsidRPr="00230A66" w:rsidSect="00D14157">
      <w:footerReference w:type="default" r:id="rId11"/>
      <w:pgSz w:w="12240" w:h="20160" w:code="5"/>
      <w:pgMar w:top="864" w:right="576" w:bottom="864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E1399" w14:textId="77777777" w:rsidR="00291DFF" w:rsidRDefault="00291DFF">
      <w:pPr>
        <w:spacing w:before="0" w:after="0"/>
      </w:pPr>
      <w:r>
        <w:separator/>
      </w:r>
    </w:p>
  </w:endnote>
  <w:endnote w:type="continuationSeparator" w:id="0">
    <w:p w14:paraId="5356CA1A" w14:textId="77777777" w:rsidR="00291DFF" w:rsidRDefault="00291DF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17999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9E23E2" w14:textId="43FEE64C" w:rsidR="0083563E" w:rsidRDefault="00476B1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59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D4D10" w14:textId="77777777" w:rsidR="00291DFF" w:rsidRDefault="00291DFF">
      <w:pPr>
        <w:spacing w:before="0" w:after="0"/>
      </w:pPr>
      <w:r>
        <w:separator/>
      </w:r>
    </w:p>
  </w:footnote>
  <w:footnote w:type="continuationSeparator" w:id="0">
    <w:p w14:paraId="057394C2" w14:textId="77777777" w:rsidR="00291DFF" w:rsidRDefault="00291DFF">
      <w:pPr>
        <w:spacing w:before="0" w:after="0"/>
      </w:pPr>
      <w:r>
        <w:continuationSeparator/>
      </w:r>
    </w:p>
  </w:footnote>
  <w:footnote w:id="1">
    <w:p w14:paraId="48BEBB20" w14:textId="2CD98BC1" w:rsidR="00A93224" w:rsidRDefault="00A9322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30A66">
        <w:rPr>
          <w:rFonts w:ascii="Calibri" w:hAnsi="Calibri"/>
          <w:sz w:val="22"/>
          <w:szCs w:val="22"/>
        </w:rPr>
        <w:t xml:space="preserve">Strategy codes must be consistent with codes chart provided at: </w:t>
      </w:r>
      <w:hyperlink r:id="rId1" w:history="1">
        <w:r w:rsidR="00F14FB9" w:rsidRPr="0075551A">
          <w:rPr>
            <w:rStyle w:val="Hyperlink"/>
            <w:rFonts w:ascii="Calibri" w:hAnsi="Calibri"/>
            <w:sz w:val="22"/>
            <w:szCs w:val="22"/>
          </w:rPr>
          <w:t>http://www.floridahousing.org/docs/default-source/programs/special-programs/lhap/template-and-exhibits/lhap-strategy-codes.docx?sfvrsn=4</w:t>
        </w:r>
      </w:hyperlink>
      <w:r w:rsidR="00F14FB9">
        <w:rPr>
          <w:rFonts w:ascii="Calibri" w:hAnsi="Calibri"/>
          <w:sz w:val="22"/>
          <w:szCs w:val="22"/>
        </w:rPr>
        <w:tab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81FAA"/>
    <w:multiLevelType w:val="hybridMultilevel"/>
    <w:tmpl w:val="ECA8B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469A2"/>
    <w:multiLevelType w:val="hybridMultilevel"/>
    <w:tmpl w:val="4B60F34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7F4C4947"/>
    <w:multiLevelType w:val="hybridMultilevel"/>
    <w:tmpl w:val="FD5408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832338">
    <w:abstractNumId w:val="2"/>
  </w:num>
  <w:num w:numId="2" w16cid:durableId="1340699076">
    <w:abstractNumId w:val="1"/>
  </w:num>
  <w:num w:numId="3" w16cid:durableId="268315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D41"/>
    <w:rsid w:val="000024C5"/>
    <w:rsid w:val="00032EC8"/>
    <w:rsid w:val="00042D9E"/>
    <w:rsid w:val="000B2B70"/>
    <w:rsid w:val="000B6733"/>
    <w:rsid w:val="00137B97"/>
    <w:rsid w:val="001C695C"/>
    <w:rsid w:val="0022185C"/>
    <w:rsid w:val="00230A66"/>
    <w:rsid w:val="00291DFF"/>
    <w:rsid w:val="002F0493"/>
    <w:rsid w:val="00313401"/>
    <w:rsid w:val="00340CC6"/>
    <w:rsid w:val="003A0381"/>
    <w:rsid w:val="003A42AC"/>
    <w:rsid w:val="003D53E8"/>
    <w:rsid w:val="003E2569"/>
    <w:rsid w:val="004142A3"/>
    <w:rsid w:val="00473613"/>
    <w:rsid w:val="00476B1C"/>
    <w:rsid w:val="0059272B"/>
    <w:rsid w:val="00597316"/>
    <w:rsid w:val="005A2B7C"/>
    <w:rsid w:val="005B2324"/>
    <w:rsid w:val="00603770"/>
    <w:rsid w:val="00632B59"/>
    <w:rsid w:val="00633452"/>
    <w:rsid w:val="006475DD"/>
    <w:rsid w:val="006B1C44"/>
    <w:rsid w:val="006D599E"/>
    <w:rsid w:val="006E0526"/>
    <w:rsid w:val="007305C1"/>
    <w:rsid w:val="007908E4"/>
    <w:rsid w:val="00802696"/>
    <w:rsid w:val="0083563E"/>
    <w:rsid w:val="00894143"/>
    <w:rsid w:val="008A0C09"/>
    <w:rsid w:val="008C1D41"/>
    <w:rsid w:val="0093570E"/>
    <w:rsid w:val="00944529"/>
    <w:rsid w:val="00962DEB"/>
    <w:rsid w:val="00972A05"/>
    <w:rsid w:val="00982056"/>
    <w:rsid w:val="00986C44"/>
    <w:rsid w:val="009D039D"/>
    <w:rsid w:val="00A93224"/>
    <w:rsid w:val="00A94C56"/>
    <w:rsid w:val="00B4312C"/>
    <w:rsid w:val="00BB110A"/>
    <w:rsid w:val="00C10BD7"/>
    <w:rsid w:val="00C92450"/>
    <w:rsid w:val="00CB6E17"/>
    <w:rsid w:val="00D14157"/>
    <w:rsid w:val="00D239AC"/>
    <w:rsid w:val="00D567C4"/>
    <w:rsid w:val="00D75CB5"/>
    <w:rsid w:val="00DB0DA7"/>
    <w:rsid w:val="00E31CF5"/>
    <w:rsid w:val="00E5369B"/>
    <w:rsid w:val="00E75272"/>
    <w:rsid w:val="00E84877"/>
    <w:rsid w:val="00E861C8"/>
    <w:rsid w:val="00E92915"/>
    <w:rsid w:val="00EA1BD4"/>
    <w:rsid w:val="00EA3858"/>
    <w:rsid w:val="00EB01A9"/>
    <w:rsid w:val="00EB5E91"/>
    <w:rsid w:val="00F14FB9"/>
    <w:rsid w:val="00F64282"/>
    <w:rsid w:val="00F82A89"/>
    <w:rsid w:val="00F8606B"/>
    <w:rsid w:val="00FB3B4C"/>
    <w:rsid w:val="00FC16C0"/>
    <w:rsid w:val="00FF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76E707"/>
  <w15:docId w15:val="{181E6977-C92D-46C7-96C5-7C25B611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color w:val="000000" w:themeColor="text1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after="120"/>
      <w:contextualSpacing/>
      <w:outlineLvl w:val="0"/>
    </w:pPr>
    <w:rPr>
      <w:rFonts w:asciiTheme="majorHAnsi" w:hAnsiTheme="majorHAnsi"/>
      <w:color w:val="365F91" w:themeColor="accent1" w:themeShade="BF"/>
      <w:sz w:val="36"/>
      <w:szCs w:val="44"/>
    </w:rPr>
  </w:style>
  <w:style w:type="paragraph" w:styleId="Heading2">
    <w:name w:val="heading 2"/>
    <w:basedOn w:val="Normal"/>
    <w:uiPriority w:val="9"/>
    <w:qFormat/>
    <w:pPr>
      <w:keepNext/>
      <w:contextualSpacing/>
      <w:outlineLvl w:val="1"/>
    </w:pPr>
    <w:rPr>
      <w:rFonts w:asciiTheme="majorHAnsi" w:hAnsiTheme="majorHAnsi"/>
      <w:b/>
      <w:bCs/>
      <w:color w:val="FFFFFF" w:themeColor="background1"/>
      <w:spacing w:val="4"/>
      <w:sz w:val="22"/>
      <w:szCs w:val="28"/>
    </w:rPr>
  </w:style>
  <w:style w:type="paragraph" w:styleId="Heading3">
    <w:name w:val="heading 3"/>
    <w:basedOn w:val="Normal"/>
    <w:uiPriority w:val="9"/>
    <w:qFormat/>
    <w:pPr>
      <w:outlineLvl w:val="2"/>
    </w:pPr>
    <w:rPr>
      <w:b/>
      <w:color w:val="404040" w:themeColor="text1" w:themeTint="BF"/>
    </w:rPr>
  </w:style>
  <w:style w:type="paragraph" w:styleId="Heading4">
    <w:name w:val="heading 4"/>
    <w:basedOn w:val="Normal"/>
    <w:link w:val="Heading4Char"/>
    <w:uiPriority w:val="9"/>
    <w:unhideWhenUsed/>
    <w:qFormat/>
    <w:pPr>
      <w:keepNext/>
      <w:spacing w:before="240"/>
      <w:contextualSpacing/>
      <w:outlineLvl w:val="3"/>
    </w:pPr>
    <w:rPr>
      <w:rFonts w:asciiTheme="majorHAnsi" w:eastAsiaTheme="majorEastAsia" w:hAnsiTheme="majorHAnsi"/>
      <w:b/>
      <w:color w:val="404040" w:themeColor="text1" w:themeTint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olor w:val="365F91" w:themeColor="accent1" w:themeShade="BF"/>
      <w:sz w:val="36"/>
      <w:szCs w:val="4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/>
      <w:b/>
      <w:color w:val="404040" w:themeColor="text1" w:themeTint="BF"/>
      <w:sz w:val="24"/>
    </w:rPr>
  </w:style>
  <w:style w:type="table" w:styleId="TableGrid">
    <w:name w:val="Table Grid"/>
    <w:basedOn w:val="TableNormal"/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sid w:val="008C1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1D41"/>
    <w:pPr>
      <w:widowControl w:val="0"/>
      <w:autoSpaceDE w:val="0"/>
      <w:autoSpaceDN w:val="0"/>
      <w:adjustRightInd w:val="0"/>
      <w:spacing w:before="0" w:after="0"/>
    </w:pPr>
    <w:rPr>
      <w:rFonts w:ascii="Courier New" w:eastAsia="Times New Roman" w:hAnsi="Courier New"/>
      <w:color w:val="auto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1D41"/>
    <w:rPr>
      <w:rFonts w:ascii="Courier New" w:eastAsia="Times New Roman" w:hAnsi="Courier New"/>
      <w:color w:val="auto"/>
    </w:rPr>
  </w:style>
  <w:style w:type="paragraph" w:styleId="ListParagraph">
    <w:name w:val="List Paragraph"/>
    <w:basedOn w:val="Normal"/>
    <w:uiPriority w:val="34"/>
    <w:unhideWhenUsed/>
    <w:qFormat/>
    <w:rsid w:val="008C1D4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30A66"/>
    <w:pPr>
      <w:spacing w:before="0"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0A66"/>
  </w:style>
  <w:style w:type="character" w:styleId="FootnoteReference">
    <w:name w:val="footnote reference"/>
    <w:basedOn w:val="DefaultParagraphFont"/>
    <w:uiPriority w:val="99"/>
    <w:semiHidden/>
    <w:unhideWhenUsed/>
    <w:rsid w:val="00230A6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30A66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2A05"/>
    <w:pPr>
      <w:widowControl/>
      <w:autoSpaceDE/>
      <w:autoSpaceDN/>
      <w:adjustRightInd/>
      <w:spacing w:before="40" w:after="40"/>
    </w:pPr>
    <w:rPr>
      <w:rFonts w:asciiTheme="minorHAnsi" w:eastAsiaTheme="minorEastAsia" w:hAnsiTheme="minorHAnsi"/>
      <w:b/>
      <w:bCs/>
      <w:color w:val="000000" w:themeColor="text1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2A05"/>
    <w:rPr>
      <w:rFonts w:ascii="Courier New" w:eastAsia="Times New Roman" w:hAnsi="Courier New"/>
      <w:b/>
      <w:b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F14FB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4FB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loridahousing.org/docs/default-source/programs/special-programs/lhap/template-and-exhibits/lhap-strategy-codes.docx?sfvrsn=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earduff\AppData\Roaming\Microsoft\Templates\Business%20trip%20itinerary%20with%20meeting%20schedu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4B17D3C04CC148996F2CFA1AF478E9" ma:contentTypeVersion="33" ma:contentTypeDescription="Create a new document." ma:contentTypeScope="" ma:versionID="70e8f9ebb9c3bdc3c278781055ee5bc2">
  <xsd:schema xmlns:xsd="http://www.w3.org/2001/XMLSchema" xmlns:xs="http://www.w3.org/2001/XMLSchema" xmlns:p="http://schemas.microsoft.com/office/2006/metadata/properties" xmlns:ns2="0c7c2184-c75e-4729-b380-7e038b0b7712" xmlns:ns3="ee2a4f69-3a29-4b24-b170-d37fab3647f8" targetNamespace="http://schemas.microsoft.com/office/2006/metadata/properties" ma:root="true" ma:fieldsID="509d9ee9056ccb464d189bfb157dd864" ns2:_="" ns3:_="">
    <xsd:import namespace="0c7c2184-c75e-4729-b380-7e038b0b7712"/>
    <xsd:import namespace="ee2a4f69-3a29-4b24-b170-d37fab3647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TaxCatchAll" minOccurs="0"/>
                <xsd:element ref="ns2:MediaServiceObjectDetectorVersions" minOccurs="0"/>
                <xsd:element ref="ns2:lcf76f155ced4ddcb4097134ff3c332f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c2184-c75e-4729-b380-7e038b0b77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c035b14-10e1-45a3-86e5-864d942af6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a4f69-3a29-4b24-b170-d37fab3647f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70a611e-d941-4943-8d3c-3b42ae9ef68c}" ma:internalName="TaxCatchAll" ma:showField="CatchAllData" ma:web="ee2a4f69-3a29-4b24-b170-d37fab3647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2a4f69-3a29-4b24-b170-d37fab3647f8" xsi:nil="true"/>
    <lcf76f155ced4ddcb4097134ff3c332f xmlns="0c7c2184-c75e-4729-b380-7e038b0b771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7B09711-745E-49B6-8A15-25D5429706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3BD1E7-69EE-4A3F-9823-F21BEF746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7c2184-c75e-4729-b380-7e038b0b7712"/>
    <ds:schemaRef ds:uri="ee2a4f69-3a29-4b24-b170-d37fab364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22D474-2B70-48A9-AFDE-0793716E8F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E38DA1-ABC9-471B-9CED-96238B91830D}">
  <ds:schemaRefs>
    <ds:schemaRef ds:uri="http://schemas.microsoft.com/office/2006/metadata/properties"/>
    <ds:schemaRef ds:uri="http://schemas.microsoft.com/office/infopath/2007/PartnerControls"/>
    <ds:schemaRef ds:uri="ee2a4f69-3a29-4b24-b170-d37fab3647f8"/>
    <ds:schemaRef ds:uri="0c7c2184-c75e-4729-b380-7e038b0b77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trip itinerary with meeting schedule</Template>
  <TotalTime>0</TotalTime>
  <Pages>1</Pages>
  <Words>720</Words>
  <Characters>3738</Characters>
  <Application>Microsoft Office Word</Application>
  <DocSecurity>0</DocSecurity>
  <Lines>71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rdearduff</dc:creator>
  <cp:keywords/>
  <cp:lastModifiedBy>Robert Dearduff</cp:lastModifiedBy>
  <cp:revision>2</cp:revision>
  <cp:lastPrinted>2003-07-10T16:26:00Z</cp:lastPrinted>
  <dcterms:created xsi:type="dcterms:W3CDTF">2023-09-08T13:32:00Z</dcterms:created>
  <dcterms:modified xsi:type="dcterms:W3CDTF">2023-09-08T13:32:00Z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TC060883621033</vt:lpwstr>
  </property>
  <property fmtid="{D5CDD505-2E9C-101B-9397-08002B2CF9AE}" pid="3" name="ContentTypeId">
    <vt:lpwstr>0x0101001A4B17D3C04CC148996F2CFA1AF478E9</vt:lpwstr>
  </property>
  <property fmtid="{D5CDD505-2E9C-101B-9397-08002B2CF9AE}" pid="4" name="GUID">
    <vt:lpwstr>ab41d135-6933-46ba-8d3d-312c3378e405</vt:lpwstr>
  </property>
  <property fmtid="{D5CDD505-2E9C-101B-9397-08002B2CF9AE}" pid="5" name="SmartDox GUID">
    <vt:lpwstr>3bb212fe-9df7-45df-b1e1-bb273122b328</vt:lpwstr>
  </property>
</Properties>
</file>